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F138" w14:textId="77777777" w:rsidR="009B6F83" w:rsidRDefault="009B6F83" w:rsidP="002E15AD">
      <w:pPr>
        <w:spacing w:after="0" w:line="240" w:lineRule="auto"/>
        <w:jc w:val="center"/>
        <w:rPr>
          <w:rFonts w:cs="Calibri"/>
          <w:b/>
          <w:sz w:val="32"/>
          <w:szCs w:val="32"/>
        </w:rPr>
      </w:pPr>
    </w:p>
    <w:p w14:paraId="0155420D" w14:textId="1471EC26" w:rsidR="006D5B7C" w:rsidRDefault="00BE41C6" w:rsidP="002E15AD">
      <w:pPr>
        <w:spacing w:after="0" w:line="240" w:lineRule="auto"/>
        <w:jc w:val="center"/>
        <w:rPr>
          <w:rFonts w:cs="Calibri"/>
          <w:b/>
          <w:sz w:val="32"/>
          <w:szCs w:val="32"/>
        </w:rPr>
      </w:pPr>
      <w:r>
        <w:rPr>
          <w:rFonts w:cs="Calibri"/>
          <w:b/>
          <w:sz w:val="32"/>
          <w:szCs w:val="32"/>
        </w:rPr>
        <w:t>High Tide Resources</w:t>
      </w:r>
      <w:r w:rsidR="00595565" w:rsidRPr="00A21391">
        <w:rPr>
          <w:rFonts w:cs="Calibri"/>
          <w:b/>
          <w:sz w:val="32"/>
          <w:szCs w:val="32"/>
        </w:rPr>
        <w:t xml:space="preserve"> </w:t>
      </w:r>
      <w:r w:rsidR="0048567B" w:rsidRPr="00140634">
        <w:rPr>
          <w:rFonts w:cs="Calibri"/>
          <w:b/>
          <w:sz w:val="32"/>
          <w:szCs w:val="32"/>
        </w:rPr>
        <w:t>Announces</w:t>
      </w:r>
      <w:r w:rsidR="002E15AD" w:rsidRPr="00140634">
        <w:rPr>
          <w:rFonts w:cs="Calibri"/>
          <w:b/>
          <w:sz w:val="32"/>
          <w:szCs w:val="32"/>
        </w:rPr>
        <w:t xml:space="preserve"> </w:t>
      </w:r>
      <w:r w:rsidR="006F3857">
        <w:rPr>
          <w:rFonts w:cs="Calibri"/>
          <w:b/>
          <w:sz w:val="32"/>
          <w:szCs w:val="32"/>
        </w:rPr>
        <w:t xml:space="preserve">Closing of First Tranche of </w:t>
      </w:r>
      <w:r w:rsidR="006157CB">
        <w:rPr>
          <w:rFonts w:cs="Calibri"/>
          <w:b/>
          <w:sz w:val="32"/>
          <w:szCs w:val="32"/>
        </w:rPr>
        <w:t xml:space="preserve">Non-Brokered </w:t>
      </w:r>
      <w:r w:rsidR="0048567B">
        <w:rPr>
          <w:rFonts w:cs="Calibri"/>
          <w:b/>
          <w:sz w:val="32"/>
          <w:szCs w:val="32"/>
        </w:rPr>
        <w:t>Private Placement</w:t>
      </w:r>
    </w:p>
    <w:p w14:paraId="363790B1" w14:textId="77777777" w:rsidR="00B1213D" w:rsidRDefault="00B1213D" w:rsidP="00B1213D">
      <w:pPr>
        <w:jc w:val="center"/>
        <w:rPr>
          <w:bCs/>
          <w:i/>
          <w:lang w:val="en-CA"/>
        </w:rPr>
      </w:pPr>
    </w:p>
    <w:p w14:paraId="0E6133F1" w14:textId="0CB69DF0" w:rsidR="006F3FD2" w:rsidRPr="00B1213D" w:rsidRDefault="00B1213D" w:rsidP="00B1213D">
      <w:pPr>
        <w:jc w:val="center"/>
        <w:rPr>
          <w:bCs/>
          <w:i/>
          <w:lang w:val="en-CA"/>
        </w:rPr>
      </w:pPr>
      <w:r>
        <w:rPr>
          <w:bCs/>
          <w:i/>
          <w:lang w:val="en-CA"/>
        </w:rPr>
        <w:t>NOT FOR DISTRIBUTION TO U.S. NEWSWIRE SERVICES OR FOR RELEASE, PUBLICATION, DISTRIBUTION OR DISSEMINATION DIRECTLY, OR INDIRECTLY, IN WHOLE OR IN PART, IN OR INTO THE UNITED STATES</w:t>
      </w:r>
    </w:p>
    <w:p w14:paraId="50FE3BC2" w14:textId="0C217194" w:rsidR="006F3857" w:rsidRDefault="00C9429C" w:rsidP="00140634">
      <w:pPr>
        <w:spacing w:after="0"/>
        <w:ind w:left="-142"/>
        <w:jc w:val="both"/>
        <w:rPr>
          <w:rFonts w:cs="Calibri"/>
        </w:rPr>
      </w:pPr>
      <w:r>
        <w:rPr>
          <w:rFonts w:cs="Calibri"/>
          <w:b/>
        </w:rPr>
        <w:t>Toronto</w:t>
      </w:r>
      <w:r w:rsidR="00595565" w:rsidRPr="00A21391">
        <w:rPr>
          <w:rFonts w:cs="Calibri"/>
          <w:b/>
        </w:rPr>
        <w:t xml:space="preserve">, ON – </w:t>
      </w:r>
      <w:r w:rsidR="006B79FE">
        <w:rPr>
          <w:rFonts w:cs="Calibri"/>
          <w:b/>
        </w:rPr>
        <w:t>November</w:t>
      </w:r>
      <w:r w:rsidR="006F3857">
        <w:rPr>
          <w:rFonts w:cs="Calibri"/>
          <w:b/>
        </w:rPr>
        <w:t xml:space="preserve"> </w:t>
      </w:r>
      <w:r w:rsidR="00522FDF">
        <w:rPr>
          <w:rFonts w:cs="Calibri"/>
          <w:b/>
        </w:rPr>
        <w:t>1</w:t>
      </w:r>
      <w:r w:rsidR="00E434A3">
        <w:rPr>
          <w:rFonts w:cs="Calibri"/>
          <w:b/>
        </w:rPr>
        <w:t>7</w:t>
      </w:r>
      <w:r>
        <w:rPr>
          <w:rFonts w:cs="Calibri"/>
          <w:b/>
        </w:rPr>
        <w:t>,</w:t>
      </w:r>
      <w:r w:rsidR="006D5B7C">
        <w:rPr>
          <w:rFonts w:cs="Calibri"/>
          <w:b/>
        </w:rPr>
        <w:t xml:space="preserve"> 202</w:t>
      </w:r>
      <w:r w:rsidR="00BE41C6">
        <w:rPr>
          <w:rFonts w:cs="Calibri"/>
          <w:b/>
        </w:rPr>
        <w:t>2</w:t>
      </w:r>
      <w:r w:rsidR="00595565" w:rsidRPr="00A21391">
        <w:rPr>
          <w:rFonts w:cs="Calibri"/>
          <w:b/>
        </w:rPr>
        <w:t xml:space="preserve"> </w:t>
      </w:r>
      <w:r w:rsidR="00595565" w:rsidRPr="00A21391">
        <w:rPr>
          <w:rFonts w:cs="Calibri"/>
        </w:rPr>
        <w:t xml:space="preserve">– </w:t>
      </w:r>
      <w:r w:rsidR="00BE41C6">
        <w:rPr>
          <w:rFonts w:cs="Calibri"/>
        </w:rPr>
        <w:t>High Tide Resources</w:t>
      </w:r>
      <w:r w:rsidR="00595565" w:rsidRPr="00A21391">
        <w:rPr>
          <w:rFonts w:cs="Calibri"/>
        </w:rPr>
        <w:t xml:space="preserve"> Corp</w:t>
      </w:r>
      <w:r w:rsidR="00BE41C6">
        <w:rPr>
          <w:rFonts w:cs="Calibri"/>
        </w:rPr>
        <w:t>.</w:t>
      </w:r>
      <w:r w:rsidR="00595565" w:rsidRPr="00A21391">
        <w:rPr>
          <w:rFonts w:cs="Calibri"/>
        </w:rPr>
        <w:t xml:space="preserve"> (</w:t>
      </w:r>
      <w:r w:rsidR="00595565" w:rsidRPr="00A21391">
        <w:rPr>
          <w:rFonts w:cs="Calibri"/>
          <w:b/>
        </w:rPr>
        <w:t>“</w:t>
      </w:r>
      <w:r w:rsidR="00BE41C6">
        <w:rPr>
          <w:rFonts w:cs="Calibri"/>
          <w:b/>
        </w:rPr>
        <w:t>High Tide Resources</w:t>
      </w:r>
      <w:r w:rsidR="00595565" w:rsidRPr="00A21391">
        <w:rPr>
          <w:rFonts w:cs="Calibri"/>
          <w:b/>
        </w:rPr>
        <w:t xml:space="preserve">” </w:t>
      </w:r>
      <w:r w:rsidR="00595565" w:rsidRPr="00A21391">
        <w:rPr>
          <w:rFonts w:cs="Calibri"/>
        </w:rPr>
        <w:t>or the</w:t>
      </w:r>
      <w:r w:rsidR="00595565" w:rsidRPr="00A21391">
        <w:rPr>
          <w:rFonts w:cs="Calibri"/>
          <w:b/>
        </w:rPr>
        <w:t xml:space="preserve"> “</w:t>
      </w:r>
      <w:r w:rsidR="006157CB">
        <w:rPr>
          <w:rFonts w:cs="Calibri"/>
          <w:b/>
        </w:rPr>
        <w:t>Company</w:t>
      </w:r>
      <w:r w:rsidR="00595565" w:rsidRPr="00A21391">
        <w:rPr>
          <w:rFonts w:cs="Calibri"/>
          <w:b/>
        </w:rPr>
        <w:t xml:space="preserve">”) (CSE: </w:t>
      </w:r>
      <w:r w:rsidR="00E354C1">
        <w:rPr>
          <w:rFonts w:cs="Calibri"/>
          <w:b/>
        </w:rPr>
        <w:t>HTRC</w:t>
      </w:r>
      <w:r w:rsidR="00595565" w:rsidRPr="00A21391">
        <w:rPr>
          <w:rFonts w:cs="Calibri"/>
          <w:b/>
        </w:rPr>
        <w:t>)</w:t>
      </w:r>
      <w:r w:rsidR="00001C10">
        <w:rPr>
          <w:rFonts w:cs="Calibri Light"/>
          <w:b/>
        </w:rPr>
        <w:t xml:space="preserve"> </w:t>
      </w:r>
      <w:r w:rsidR="00033D8E" w:rsidRPr="00033D8E">
        <w:rPr>
          <w:rFonts w:cs="Calibri"/>
        </w:rPr>
        <w:t xml:space="preserve">is pleased to </w:t>
      </w:r>
      <w:r w:rsidR="00033D8E" w:rsidRPr="006B79FE">
        <w:rPr>
          <w:rFonts w:cs="Calibri"/>
        </w:rPr>
        <w:t>announce</w:t>
      </w:r>
      <w:r w:rsidR="006F3857">
        <w:rPr>
          <w:rFonts w:cs="Calibri"/>
        </w:rPr>
        <w:t xml:space="preserve"> that it has closed the first tranche (the “</w:t>
      </w:r>
      <w:r w:rsidR="006F3857" w:rsidRPr="006F3857">
        <w:rPr>
          <w:rFonts w:cs="Calibri"/>
          <w:b/>
          <w:bCs/>
        </w:rPr>
        <w:t>First</w:t>
      </w:r>
      <w:r w:rsidR="006F3857">
        <w:rPr>
          <w:rFonts w:cs="Calibri"/>
        </w:rPr>
        <w:t xml:space="preserve"> </w:t>
      </w:r>
      <w:r w:rsidR="006F3857" w:rsidRPr="006F3857">
        <w:rPr>
          <w:rFonts w:cs="Calibri"/>
          <w:b/>
          <w:bCs/>
        </w:rPr>
        <w:t>Tranc</w:t>
      </w:r>
      <w:r w:rsidR="006F3857">
        <w:rPr>
          <w:rFonts w:cs="Calibri"/>
          <w:b/>
          <w:bCs/>
        </w:rPr>
        <w:t>h</w:t>
      </w:r>
      <w:r w:rsidR="006F3857" w:rsidRPr="006F3857">
        <w:rPr>
          <w:rFonts w:cs="Calibri"/>
          <w:b/>
          <w:bCs/>
        </w:rPr>
        <w:t>e</w:t>
      </w:r>
      <w:r w:rsidR="006F3857">
        <w:rPr>
          <w:rFonts w:cs="Calibri"/>
        </w:rPr>
        <w:t>”) of its previously announced non-brokered private placement (the “</w:t>
      </w:r>
      <w:r w:rsidR="006F3857" w:rsidRPr="006F3857">
        <w:rPr>
          <w:rFonts w:cs="Calibri"/>
          <w:b/>
          <w:bCs/>
        </w:rPr>
        <w:t>Offering</w:t>
      </w:r>
      <w:r w:rsidR="006F3857">
        <w:rPr>
          <w:rFonts w:cs="Calibri"/>
        </w:rPr>
        <w:t>”). The First Tranche consisted of the sale of 4,000,000 units of the Company (the “</w:t>
      </w:r>
      <w:r w:rsidR="006F3857" w:rsidRPr="006F3857">
        <w:rPr>
          <w:rFonts w:cs="Calibri"/>
          <w:b/>
          <w:bCs/>
        </w:rPr>
        <w:t>HD</w:t>
      </w:r>
      <w:r w:rsidR="006F3857">
        <w:rPr>
          <w:rFonts w:cs="Calibri"/>
        </w:rPr>
        <w:t xml:space="preserve"> </w:t>
      </w:r>
      <w:r w:rsidR="006F3857" w:rsidRPr="006F3857">
        <w:rPr>
          <w:rFonts w:cs="Calibri"/>
          <w:b/>
          <w:bCs/>
        </w:rPr>
        <w:t>Units</w:t>
      </w:r>
      <w:r w:rsidR="006F3857">
        <w:rPr>
          <w:rFonts w:cs="Calibri"/>
        </w:rPr>
        <w:t xml:space="preserve">) </w:t>
      </w:r>
      <w:r w:rsidR="006F3857" w:rsidRPr="006B79FE">
        <w:rPr>
          <w:rFonts w:cs="Calibri"/>
        </w:rPr>
        <w:t>at a price of $0.10 per HD Unit</w:t>
      </w:r>
      <w:r w:rsidR="006F3857">
        <w:rPr>
          <w:rFonts w:cs="Calibri"/>
        </w:rPr>
        <w:t xml:space="preserve"> for aggregate proceeds of $400,000.</w:t>
      </w:r>
    </w:p>
    <w:p w14:paraId="5FF4E6FA" w14:textId="514DFA15" w:rsidR="006F3857" w:rsidRDefault="006F3857" w:rsidP="00140634">
      <w:pPr>
        <w:spacing w:after="0"/>
        <w:ind w:left="-142"/>
        <w:jc w:val="both"/>
        <w:rPr>
          <w:rFonts w:cs="Calibri"/>
        </w:rPr>
      </w:pPr>
    </w:p>
    <w:p w14:paraId="2758ED84" w14:textId="250973D8" w:rsidR="006F3857" w:rsidRDefault="006F3857" w:rsidP="006F3857">
      <w:pPr>
        <w:spacing w:after="0"/>
        <w:ind w:left="-142"/>
        <w:jc w:val="both"/>
        <w:rPr>
          <w:rFonts w:cs="Calibri"/>
        </w:rPr>
      </w:pPr>
      <w:r>
        <w:rPr>
          <w:rFonts w:cs="Calibri"/>
        </w:rPr>
        <w:t xml:space="preserve">Each HD Unit is comprised of </w:t>
      </w:r>
      <w:r>
        <w:t>one (1) common share in the capital of the Company (a “</w:t>
      </w:r>
      <w:r>
        <w:rPr>
          <w:b/>
          <w:bCs/>
        </w:rPr>
        <w:t>Common Share</w:t>
      </w:r>
      <w:r>
        <w:t>”) issued on a non-flow-through basis and one half of one Common Share purchase warrant (each whole Common Share purchase warrant, a “</w:t>
      </w:r>
      <w:r>
        <w:rPr>
          <w:b/>
          <w:bCs/>
        </w:rPr>
        <w:t>Warrant</w:t>
      </w:r>
      <w:r>
        <w:t>”).</w:t>
      </w:r>
      <w:r w:rsidRPr="006F3857">
        <w:t xml:space="preserve"> </w:t>
      </w:r>
      <w:r w:rsidRPr="006B79FE">
        <w:t>Each Warrant entitle</w:t>
      </w:r>
      <w:r w:rsidR="00522FDF">
        <w:t>s</w:t>
      </w:r>
      <w:r w:rsidRPr="006B79FE">
        <w:t xml:space="preserve"> the holder thereof to acquire one (1) Common Share (a “</w:t>
      </w:r>
      <w:r w:rsidRPr="006B79FE">
        <w:rPr>
          <w:b/>
          <w:bCs/>
        </w:rPr>
        <w:t>Warrant Share</w:t>
      </w:r>
      <w:r w:rsidRPr="006B79FE">
        <w:t>”) at a price of $0.16 per</w:t>
      </w:r>
      <w:r>
        <w:t xml:space="preserve"> Warrant Share for a period </w:t>
      </w:r>
      <w:r w:rsidRPr="006B79FE">
        <w:t>of sixty (60)</w:t>
      </w:r>
      <w:r>
        <w:t xml:space="preserve"> months following the closing date of the applicable tranche of the Offering.</w:t>
      </w:r>
    </w:p>
    <w:p w14:paraId="1BE04CDC" w14:textId="77777777" w:rsidR="006F3857" w:rsidRDefault="006F3857" w:rsidP="006F3857">
      <w:pPr>
        <w:spacing w:after="0"/>
        <w:ind w:left="-142"/>
        <w:jc w:val="both"/>
        <w:rPr>
          <w:rFonts w:cs="Calibri"/>
        </w:rPr>
      </w:pPr>
    </w:p>
    <w:p w14:paraId="506775A9" w14:textId="6D465D24" w:rsidR="006F3857" w:rsidRDefault="006F3857" w:rsidP="00140634">
      <w:pPr>
        <w:spacing w:after="0"/>
        <w:ind w:left="-142"/>
        <w:jc w:val="both"/>
        <w:rPr>
          <w:rFonts w:cs="Calibri"/>
        </w:rPr>
      </w:pPr>
      <w:r>
        <w:rPr>
          <w:rFonts w:cs="Calibri"/>
        </w:rPr>
        <w:t>The Company expects to close a second tranche of the Offering (the “</w:t>
      </w:r>
      <w:r w:rsidRPr="006F3857">
        <w:rPr>
          <w:rFonts w:cs="Calibri"/>
          <w:b/>
          <w:bCs/>
        </w:rPr>
        <w:t>Second Tranche</w:t>
      </w:r>
      <w:r>
        <w:rPr>
          <w:rFonts w:cs="Calibri"/>
        </w:rPr>
        <w:t xml:space="preserve">”) on </w:t>
      </w:r>
      <w:r w:rsidRPr="00033D8E">
        <w:rPr>
          <w:rFonts w:cs="Calibri"/>
        </w:rPr>
        <w:t xml:space="preserve">or about </w:t>
      </w:r>
      <w:r>
        <w:rPr>
          <w:rFonts w:cs="Calibri"/>
        </w:rPr>
        <w:t>December 7</w:t>
      </w:r>
      <w:r w:rsidRPr="00033D8E">
        <w:rPr>
          <w:rFonts w:cs="Calibri"/>
        </w:rPr>
        <w:t xml:space="preserve">, </w:t>
      </w:r>
      <w:proofErr w:type="gramStart"/>
      <w:r w:rsidRPr="00033D8E">
        <w:rPr>
          <w:rFonts w:cs="Calibri"/>
        </w:rPr>
        <w:t>202</w:t>
      </w:r>
      <w:r>
        <w:rPr>
          <w:rFonts w:cs="Calibri"/>
        </w:rPr>
        <w:t>2</w:t>
      </w:r>
      <w:proofErr w:type="gramEnd"/>
      <w:r w:rsidRPr="00033D8E">
        <w:rPr>
          <w:rFonts w:cs="Calibri"/>
        </w:rPr>
        <w:t xml:space="preserve"> </w:t>
      </w:r>
      <w:r>
        <w:rPr>
          <w:rFonts w:cs="Calibri"/>
        </w:rPr>
        <w:t>or such other date or dates that the Company may determine, subject to the receipt of all required regulatory approval,</w:t>
      </w:r>
      <w:r w:rsidRPr="00033D8E">
        <w:rPr>
          <w:rFonts w:cs="Calibri"/>
        </w:rPr>
        <w:t xml:space="preserve"> including acceptance of the Exchange.</w:t>
      </w:r>
      <w:r>
        <w:rPr>
          <w:rFonts w:cs="Calibri"/>
        </w:rPr>
        <w:t xml:space="preserve"> The Second Tranche is expected to consist of a combination of HD Units at a price of $0.10 per HD Unit, </w:t>
      </w:r>
      <w:r w:rsidRPr="006B79FE">
        <w:rPr>
          <w:rFonts w:cs="Calibri"/>
        </w:rPr>
        <w:t>national flow-through units (the "</w:t>
      </w:r>
      <w:r w:rsidRPr="006B79FE">
        <w:rPr>
          <w:rFonts w:cs="Calibri"/>
          <w:b/>
          <w:bCs/>
        </w:rPr>
        <w:t>National FT Units</w:t>
      </w:r>
      <w:r w:rsidRPr="006B79FE">
        <w:rPr>
          <w:rFonts w:cs="Calibri"/>
        </w:rPr>
        <w:t>") at a price of $0.12 per National FT Unit, and Quebec flow-through units (the “</w:t>
      </w:r>
      <w:r w:rsidRPr="006B79FE">
        <w:rPr>
          <w:rFonts w:cs="Calibri"/>
          <w:b/>
          <w:bCs/>
        </w:rPr>
        <w:t>Quebec FT Units</w:t>
      </w:r>
      <w:r w:rsidRPr="006B79FE">
        <w:rPr>
          <w:rFonts w:cs="Calibri"/>
        </w:rPr>
        <w:t>”, and together with the National FT Units, the “</w:t>
      </w:r>
      <w:r w:rsidRPr="006B79FE">
        <w:rPr>
          <w:rFonts w:cs="Calibri"/>
          <w:b/>
          <w:bCs/>
        </w:rPr>
        <w:t>FT Units</w:t>
      </w:r>
      <w:r w:rsidRPr="006B79FE">
        <w:rPr>
          <w:rFonts w:cs="Calibri"/>
        </w:rPr>
        <w:t>”) at a price of $0.13 per Quebec FT Unit</w:t>
      </w:r>
      <w:r>
        <w:rPr>
          <w:rFonts w:cs="Calibri"/>
        </w:rPr>
        <w:t>. E</w:t>
      </w:r>
      <w:r>
        <w:t>ach National FT Unit will be comprised of one (1) Common Share qualifying as a “flow-through share” as defined in subsection 66(15) of the Tax Act and one half of one Warrant. Each Quebec FT Unit will be comprised of one (1) Common Share qualifying as a “flow-through share” as defined in subsection 66(15) of the Tax Act and section 359.1 of the Quebec Tax Act and one half of one Warrant.</w:t>
      </w:r>
    </w:p>
    <w:p w14:paraId="71633846" w14:textId="77777777" w:rsidR="006F3857" w:rsidRDefault="006F3857" w:rsidP="00140634">
      <w:pPr>
        <w:spacing w:after="0"/>
        <w:ind w:left="-142"/>
        <w:jc w:val="both"/>
        <w:rPr>
          <w:rFonts w:cs="Calibri"/>
        </w:rPr>
      </w:pPr>
    </w:p>
    <w:p w14:paraId="1C67187C" w14:textId="543CEE39" w:rsidR="00033D8E" w:rsidRPr="00033D8E" w:rsidRDefault="006F3857" w:rsidP="006F3857">
      <w:pPr>
        <w:spacing w:after="0"/>
        <w:ind w:left="-142"/>
        <w:jc w:val="both"/>
        <w:rPr>
          <w:rFonts w:cs="Calibri"/>
        </w:rPr>
      </w:pPr>
      <w:r>
        <w:rPr>
          <w:rFonts w:cs="Calibri"/>
        </w:rPr>
        <w:t>The gross proceeds of the Offering will be up to an aggregate of $1,000,000, exclusive of a 25% upsize option</w:t>
      </w:r>
      <w:r w:rsidR="00522FDF">
        <w:rPr>
          <w:rFonts w:cs="Calibri"/>
        </w:rPr>
        <w:t xml:space="preserve"> (the “</w:t>
      </w:r>
      <w:r w:rsidR="00522FDF" w:rsidRPr="00522FDF">
        <w:rPr>
          <w:rFonts w:cs="Calibri"/>
          <w:b/>
          <w:bCs/>
        </w:rPr>
        <w:t>Upsize</w:t>
      </w:r>
      <w:r w:rsidR="003C1F35">
        <w:rPr>
          <w:rFonts w:cs="Calibri"/>
          <w:b/>
          <w:bCs/>
        </w:rPr>
        <w:t xml:space="preserve"> Options</w:t>
      </w:r>
      <w:r w:rsidR="00522FDF">
        <w:rPr>
          <w:rFonts w:cs="Calibri"/>
        </w:rPr>
        <w:t>”)</w:t>
      </w:r>
      <w:r>
        <w:rPr>
          <w:rFonts w:cs="Calibri"/>
        </w:rPr>
        <w:t>, to be exercised in the Company’s sole discretion</w:t>
      </w:r>
      <w:r w:rsidR="00522FDF">
        <w:rPr>
          <w:rFonts w:cs="Calibri"/>
        </w:rPr>
        <w:t>. If the Upsize</w:t>
      </w:r>
      <w:r w:rsidR="003C1F35">
        <w:rPr>
          <w:rFonts w:cs="Calibri"/>
        </w:rPr>
        <w:t xml:space="preserve"> Option</w:t>
      </w:r>
      <w:r w:rsidR="00522FDF">
        <w:rPr>
          <w:rFonts w:cs="Calibri"/>
        </w:rPr>
        <w:t xml:space="preserve"> is exercised, the total aggregate gross proceeds will be up to $1,250,000</w:t>
      </w:r>
      <w:r>
        <w:rPr>
          <w:rFonts w:cs="Calibri"/>
        </w:rPr>
        <w:t xml:space="preserve">. </w:t>
      </w:r>
      <w:r w:rsidRPr="00033D8E">
        <w:rPr>
          <w:rFonts w:cs="Calibri"/>
        </w:rPr>
        <w:t>The</w:t>
      </w:r>
      <w:r>
        <w:rPr>
          <w:rFonts w:cs="Calibri"/>
        </w:rPr>
        <w:t xml:space="preserve"> net</w:t>
      </w:r>
      <w:r w:rsidRPr="00033D8E">
        <w:rPr>
          <w:rFonts w:cs="Calibri"/>
        </w:rPr>
        <w:t xml:space="preserve"> proceeds from the issue and </w:t>
      </w:r>
      <w:r w:rsidRPr="00B1213D">
        <w:rPr>
          <w:rFonts w:cs="Calibri"/>
        </w:rPr>
        <w:t>sale of the HD Units will be used for exploration</w:t>
      </w:r>
      <w:r>
        <w:rPr>
          <w:rFonts w:cs="Calibri"/>
        </w:rPr>
        <w:t xml:space="preserve"> of the Company’s mineral properties </w:t>
      </w:r>
      <w:r w:rsidRPr="00B1213D">
        <w:rPr>
          <w:rFonts w:cs="Calibri"/>
        </w:rPr>
        <w:t>and for general corporate purposes.</w:t>
      </w:r>
      <w:r>
        <w:rPr>
          <w:rFonts w:cs="Calibri"/>
        </w:rPr>
        <w:t xml:space="preserve"> </w:t>
      </w:r>
      <w:r w:rsidR="00B1213D">
        <w:rPr>
          <w:rFonts w:cs="Calibri"/>
        </w:rPr>
        <w:t>T</w:t>
      </w:r>
      <w:r w:rsidR="00C42078">
        <w:rPr>
          <w:rFonts w:cs="Calibri"/>
        </w:rPr>
        <w:t xml:space="preserve">he </w:t>
      </w:r>
      <w:r w:rsidR="006157CB">
        <w:rPr>
          <w:rFonts w:cs="Calibri"/>
        </w:rPr>
        <w:t>Company</w:t>
      </w:r>
      <w:r w:rsidR="00C42078">
        <w:rPr>
          <w:rFonts w:cs="Calibri"/>
        </w:rPr>
        <w:t xml:space="preserve"> will use an amount equal to</w:t>
      </w:r>
      <w:r w:rsidR="00F731B5">
        <w:rPr>
          <w:rFonts w:cs="Calibri"/>
        </w:rPr>
        <w:t xml:space="preserve"> </w:t>
      </w:r>
      <w:r w:rsidR="00F94A8F">
        <w:rPr>
          <w:rFonts w:cs="Calibri"/>
        </w:rPr>
        <w:t>t</w:t>
      </w:r>
      <w:r w:rsidR="00F731B5">
        <w:rPr>
          <w:rFonts w:cs="Calibri"/>
        </w:rPr>
        <w:t>he</w:t>
      </w:r>
      <w:r w:rsidR="00C42078">
        <w:rPr>
          <w:rFonts w:cs="Calibri"/>
        </w:rPr>
        <w:t xml:space="preserve"> gross</w:t>
      </w:r>
      <w:r w:rsidR="00F731B5">
        <w:rPr>
          <w:rFonts w:cs="Calibri"/>
        </w:rPr>
        <w:t xml:space="preserve"> </w:t>
      </w:r>
      <w:r w:rsidR="00563A65">
        <w:rPr>
          <w:rFonts w:cs="Calibri"/>
        </w:rPr>
        <w:t>proceeds from the</w:t>
      </w:r>
      <w:r w:rsidR="00B1213D">
        <w:rPr>
          <w:rFonts w:cs="Calibri"/>
        </w:rPr>
        <w:t xml:space="preserve"> sale of the FT Units</w:t>
      </w:r>
      <w:r w:rsidR="001C47C4">
        <w:rPr>
          <w:rFonts w:cs="Calibri"/>
        </w:rPr>
        <w:t xml:space="preserve"> </w:t>
      </w:r>
      <w:r w:rsidR="00B1213D">
        <w:rPr>
          <w:rFonts w:cs="Calibri"/>
        </w:rPr>
        <w:t>to incur eligible</w:t>
      </w:r>
      <w:r w:rsidR="00033D8E" w:rsidRPr="00033D8E">
        <w:rPr>
          <w:rFonts w:cs="Calibri"/>
        </w:rPr>
        <w:t xml:space="preserve"> "Canadian </w:t>
      </w:r>
      <w:r w:rsidR="00B1213D">
        <w:rPr>
          <w:rFonts w:cs="Calibri"/>
        </w:rPr>
        <w:t>e</w:t>
      </w:r>
      <w:r w:rsidR="00033D8E" w:rsidRPr="00033D8E">
        <w:rPr>
          <w:rFonts w:cs="Calibri"/>
        </w:rPr>
        <w:t xml:space="preserve">xploration </w:t>
      </w:r>
      <w:r w:rsidR="00B1213D">
        <w:rPr>
          <w:rFonts w:cs="Calibri"/>
        </w:rPr>
        <w:t>e</w:t>
      </w:r>
      <w:r w:rsidR="00033D8E" w:rsidRPr="00033D8E">
        <w:rPr>
          <w:rFonts w:cs="Calibri"/>
        </w:rPr>
        <w:t xml:space="preserve">xpenses" </w:t>
      </w:r>
      <w:r w:rsidR="00B1213D">
        <w:rPr>
          <w:rFonts w:cs="Calibri"/>
        </w:rPr>
        <w:t>that</w:t>
      </w:r>
      <w:r w:rsidR="00871777">
        <w:rPr>
          <w:rFonts w:cs="Calibri"/>
        </w:rPr>
        <w:t xml:space="preserve"> </w:t>
      </w:r>
      <w:r w:rsidR="00563A65">
        <w:rPr>
          <w:rFonts w:cs="Calibri"/>
        </w:rPr>
        <w:t xml:space="preserve">qualify as </w:t>
      </w:r>
      <w:r w:rsidR="00033D8E" w:rsidRPr="00033D8E">
        <w:rPr>
          <w:rFonts w:cs="Calibri"/>
        </w:rPr>
        <w:t>"flow-through mining expenditures"</w:t>
      </w:r>
      <w:r w:rsidR="006347C0">
        <w:rPr>
          <w:rFonts w:cs="Calibri"/>
        </w:rPr>
        <w:t xml:space="preserve"> </w:t>
      </w:r>
      <w:r w:rsidR="00121598">
        <w:rPr>
          <w:rFonts w:cs="Calibri"/>
        </w:rPr>
        <w:t>(</w:t>
      </w:r>
      <w:r w:rsidR="00871777">
        <w:rPr>
          <w:rFonts w:cs="Calibri"/>
        </w:rPr>
        <w:t xml:space="preserve">as </w:t>
      </w:r>
      <w:r w:rsidR="006347C0">
        <w:rPr>
          <w:rFonts w:cs="Calibri"/>
        </w:rPr>
        <w:t>both</w:t>
      </w:r>
      <w:r w:rsidR="00871777">
        <w:rPr>
          <w:rFonts w:cs="Calibri"/>
        </w:rPr>
        <w:t xml:space="preserve"> terms are defined in the </w:t>
      </w:r>
      <w:r w:rsidR="00871777" w:rsidRPr="00A61BE2">
        <w:rPr>
          <w:rFonts w:cs="Calibri"/>
        </w:rPr>
        <w:t>Income Tax Act</w:t>
      </w:r>
      <w:r w:rsidR="00871777">
        <w:rPr>
          <w:rFonts w:cs="Calibri"/>
        </w:rPr>
        <w:t xml:space="preserve"> </w:t>
      </w:r>
      <w:r w:rsidR="00871777" w:rsidRPr="00C42078">
        <w:rPr>
          <w:rFonts w:cs="Calibri"/>
        </w:rPr>
        <w:t>(Canada)</w:t>
      </w:r>
      <w:r w:rsidR="00121598">
        <w:rPr>
          <w:rFonts w:cs="Calibri"/>
        </w:rPr>
        <w:t>)</w:t>
      </w:r>
      <w:r w:rsidR="00A61BE2">
        <w:rPr>
          <w:rFonts w:cs="Calibri"/>
        </w:rPr>
        <w:t xml:space="preserve"> and</w:t>
      </w:r>
      <w:r w:rsidR="00A61BE2" w:rsidRPr="00A61BE2">
        <w:rPr>
          <w:rFonts w:cs="Calibri"/>
        </w:rPr>
        <w:t xml:space="preserve"> in respect of Québec resident subscribers who are eligible individuals, will qualify for inclusion in the "exploration base relating to certain Québec surface mining or oil and gas exploration expenses" and the "exploration base relating to certain Québec </w:t>
      </w:r>
      <w:r w:rsidR="00A61BE2" w:rsidRPr="00A61BE2">
        <w:rPr>
          <w:rFonts w:cs="Calibri"/>
        </w:rPr>
        <w:lastRenderedPageBreak/>
        <w:t>exploration expenses" of the Corporation as such terms are defined in the Taxation Act (Québec) related the Company’s properties located in Quebec, Canada</w:t>
      </w:r>
      <w:r w:rsidR="00B1213D">
        <w:rPr>
          <w:rFonts w:cs="Calibri"/>
        </w:rPr>
        <w:t xml:space="preserve"> (the “</w:t>
      </w:r>
      <w:r w:rsidR="00B1213D" w:rsidRPr="00B1213D">
        <w:rPr>
          <w:rFonts w:cs="Calibri"/>
          <w:b/>
          <w:bCs/>
        </w:rPr>
        <w:t>Qualifying Expenditures</w:t>
      </w:r>
      <w:r w:rsidR="00B1213D">
        <w:rPr>
          <w:rFonts w:cs="Calibri"/>
        </w:rPr>
        <w:t>”)</w:t>
      </w:r>
      <w:r w:rsidR="00A61BE2">
        <w:rPr>
          <w:rFonts w:cs="Calibri"/>
        </w:rPr>
        <w:t>,</w:t>
      </w:r>
      <w:r w:rsidR="00C42078" w:rsidRPr="00033D8E">
        <w:rPr>
          <w:rFonts w:cs="Calibri"/>
        </w:rPr>
        <w:t xml:space="preserve"> </w:t>
      </w:r>
      <w:r w:rsidR="00B1213D">
        <w:rPr>
          <w:rFonts w:cs="Calibri"/>
        </w:rPr>
        <w:t xml:space="preserve">on or before December 31, 2023, and to renounce all the Qualifying Expenditures in </w:t>
      </w:r>
      <w:proofErr w:type="spellStart"/>
      <w:r w:rsidR="00B1213D">
        <w:rPr>
          <w:rFonts w:cs="Calibri"/>
        </w:rPr>
        <w:t>favour</w:t>
      </w:r>
      <w:proofErr w:type="spellEnd"/>
      <w:r w:rsidR="00B1213D">
        <w:rPr>
          <w:rFonts w:cs="Calibri"/>
        </w:rPr>
        <w:t xml:space="preserve"> of the subscribers of the FT Units effective December 31, 2022. </w:t>
      </w:r>
    </w:p>
    <w:p w14:paraId="3A22FCA1" w14:textId="77777777" w:rsidR="00033D8E" w:rsidRPr="00033D8E" w:rsidRDefault="00033D8E" w:rsidP="00033D8E">
      <w:pPr>
        <w:spacing w:after="0"/>
        <w:ind w:left="-142"/>
        <w:jc w:val="both"/>
        <w:rPr>
          <w:rFonts w:cs="Calibri"/>
        </w:rPr>
      </w:pPr>
    </w:p>
    <w:p w14:paraId="6B426D13" w14:textId="0764D49F" w:rsidR="00033D8E" w:rsidRPr="00033D8E" w:rsidRDefault="00033D8E" w:rsidP="00033D8E">
      <w:pPr>
        <w:spacing w:after="0"/>
        <w:ind w:left="-142"/>
        <w:jc w:val="both"/>
        <w:rPr>
          <w:rFonts w:cs="Calibri"/>
        </w:rPr>
      </w:pPr>
      <w:r w:rsidRPr="00033D8E">
        <w:rPr>
          <w:rFonts w:cs="Calibri"/>
        </w:rPr>
        <w:t>All securities issued in connection with the Offering</w:t>
      </w:r>
      <w:r w:rsidR="006F3857">
        <w:rPr>
          <w:rFonts w:cs="Calibri"/>
        </w:rPr>
        <w:t xml:space="preserve"> are and</w:t>
      </w:r>
      <w:r w:rsidRPr="00033D8E">
        <w:rPr>
          <w:rFonts w:cs="Calibri"/>
        </w:rPr>
        <w:t xml:space="preserve"> will be subject to a hold period of four months and one day from the</w:t>
      </w:r>
      <w:r w:rsidR="006F3857">
        <w:rPr>
          <w:rFonts w:cs="Calibri"/>
        </w:rPr>
        <w:t xml:space="preserve"> applicable closing date</w:t>
      </w:r>
      <w:r w:rsidRPr="00033D8E">
        <w:rPr>
          <w:rFonts w:cs="Calibri"/>
        </w:rPr>
        <w:t xml:space="preserve"> in accordance with applicable Canadian securities laws.</w:t>
      </w:r>
      <w:r w:rsidR="00CD1926" w:rsidRPr="00CD1926">
        <w:rPr>
          <w:rFonts w:cs="Calibri"/>
        </w:rPr>
        <w:t xml:space="preserve"> In connection with the Offering, the Company may pay finders’ fees in cash or securities, or a combination of both, as permitted by the policies of the Exchange.</w:t>
      </w:r>
      <w:r w:rsidR="006F3857">
        <w:rPr>
          <w:rFonts w:cs="Calibri"/>
        </w:rPr>
        <w:t xml:space="preserve"> No finders’ fees were paid in connection with the closing of the First Tranche. </w:t>
      </w:r>
    </w:p>
    <w:p w14:paraId="6E5F61C5" w14:textId="77777777" w:rsidR="00033D8E" w:rsidRPr="00033D8E" w:rsidRDefault="00033D8E" w:rsidP="00033D8E">
      <w:pPr>
        <w:spacing w:after="0"/>
        <w:ind w:left="-142"/>
        <w:jc w:val="both"/>
        <w:rPr>
          <w:rFonts w:cs="Calibri"/>
        </w:rPr>
      </w:pPr>
    </w:p>
    <w:p w14:paraId="5B1087AD" w14:textId="1D33174F" w:rsidR="007F4150" w:rsidRDefault="00033D8E" w:rsidP="00033D8E">
      <w:pPr>
        <w:spacing w:after="0"/>
        <w:ind w:left="-142"/>
        <w:jc w:val="both"/>
        <w:rPr>
          <w:rFonts w:asciiTheme="minorHAnsi" w:hAnsiTheme="minorHAnsi" w:cstheme="minorHAnsi"/>
        </w:rPr>
      </w:pPr>
      <w:r w:rsidRPr="00033D8E">
        <w:rPr>
          <w:rFonts w:cs="Calibri"/>
        </w:rPr>
        <w:t>The securities issued under the Offering have not been and will not be registered under the U.S. Securities Act of 1933, as amended, and were not to be offered or sold in the United States absent</w:t>
      </w:r>
      <w:r w:rsidR="00F94A8F">
        <w:rPr>
          <w:rFonts w:cs="Calibri"/>
        </w:rPr>
        <w:t xml:space="preserve"> </w:t>
      </w:r>
      <w:r w:rsidRPr="00033D8E">
        <w:rPr>
          <w:rFonts w:cs="Calibri"/>
        </w:rPr>
        <w:t>registration or an applicable exemption from the registration requirements</w:t>
      </w:r>
      <w:r w:rsidRPr="00140634">
        <w:rPr>
          <w:rStyle w:val="Strong"/>
        </w:rPr>
        <w:t>. This news release shall</w:t>
      </w:r>
      <w:r w:rsidRPr="00033D8E">
        <w:rPr>
          <w:rFonts w:cs="Calibri"/>
        </w:rPr>
        <w:t xml:space="preserve"> not constitute an offer to sell or the solicitation of an offer to buy nor shall there be any sale of the securities</w:t>
      </w:r>
      <w:r w:rsidR="00A017C4">
        <w:rPr>
          <w:rFonts w:cs="Calibri"/>
        </w:rPr>
        <w:t xml:space="preserve"> </w:t>
      </w:r>
      <w:r w:rsidRPr="00033D8E">
        <w:rPr>
          <w:rFonts w:cs="Calibri"/>
        </w:rPr>
        <w:t>in the United States or in any other jurisdiction in which such offer, solicitation or sale would be unlawful.</w:t>
      </w:r>
    </w:p>
    <w:p w14:paraId="74A92B82" w14:textId="77777777" w:rsidR="00800EDB" w:rsidRDefault="00800EDB" w:rsidP="007F4150">
      <w:pPr>
        <w:spacing w:after="0"/>
        <w:ind w:left="-142"/>
        <w:jc w:val="both"/>
        <w:rPr>
          <w:rFonts w:eastAsia="Times New Roman" w:cs="Calibri"/>
          <w:b/>
          <w:bCs/>
          <w:lang w:eastAsia="en-CA"/>
        </w:rPr>
      </w:pPr>
    </w:p>
    <w:p w14:paraId="2431EC5D" w14:textId="7E296473" w:rsidR="007F4150" w:rsidRDefault="007F4150" w:rsidP="007F4150">
      <w:pPr>
        <w:spacing w:after="0"/>
        <w:ind w:left="-142"/>
        <w:jc w:val="both"/>
        <w:rPr>
          <w:rFonts w:asciiTheme="minorHAnsi" w:hAnsiTheme="minorHAnsi" w:cstheme="minorHAnsi"/>
        </w:rPr>
      </w:pPr>
      <w:r w:rsidRPr="0015676C">
        <w:rPr>
          <w:rFonts w:eastAsia="Times New Roman" w:cs="Calibri"/>
          <w:b/>
          <w:bCs/>
          <w:lang w:eastAsia="en-CA"/>
        </w:rPr>
        <w:t>About </w:t>
      </w:r>
      <w:r w:rsidR="00E354C1">
        <w:rPr>
          <w:rFonts w:eastAsia="Times New Roman" w:cs="Calibri"/>
          <w:b/>
          <w:bCs/>
          <w:lang w:eastAsia="en-CA"/>
        </w:rPr>
        <w:t>High Tide Resource</w:t>
      </w:r>
      <w:r w:rsidRPr="0015676C">
        <w:rPr>
          <w:rFonts w:eastAsia="Times New Roman" w:cs="Calibri"/>
          <w:b/>
          <w:bCs/>
          <w:lang w:eastAsia="en-CA"/>
        </w:rPr>
        <w:t>s Corp</w:t>
      </w:r>
      <w:r w:rsidR="00E354C1">
        <w:rPr>
          <w:rFonts w:eastAsia="Times New Roman" w:cs="Calibri"/>
          <w:lang w:val="en-CA" w:eastAsia="en-CA"/>
        </w:rPr>
        <w:t>.</w:t>
      </w:r>
    </w:p>
    <w:p w14:paraId="2A457092" w14:textId="77777777" w:rsidR="007F4150" w:rsidRPr="00140634" w:rsidRDefault="007F4150" w:rsidP="007F4150">
      <w:pPr>
        <w:spacing w:after="0"/>
        <w:ind w:left="-142"/>
        <w:jc w:val="both"/>
        <w:rPr>
          <w:rStyle w:val="Strong"/>
        </w:rPr>
      </w:pPr>
    </w:p>
    <w:p w14:paraId="208AE4F1" w14:textId="77777777" w:rsidR="00E354C1" w:rsidRPr="00140634" w:rsidRDefault="00E354C1" w:rsidP="007F4150">
      <w:pPr>
        <w:spacing w:after="0"/>
        <w:ind w:left="-142"/>
        <w:jc w:val="both"/>
        <w:rPr>
          <w:rStyle w:val="Strong"/>
        </w:rPr>
      </w:pPr>
      <w:r w:rsidRPr="00140634">
        <w:rPr>
          <w:rStyle w:val="Strong"/>
        </w:rPr>
        <w:t xml:space="preserve">High Tide is focused on, and committed to, the development of advanced-stage iron ore and battery metal projects in Canada using industry best practices combined with a strong social license from local communities. High Tide is earning a 100% interest the Labrador West Iron project located proximal to IOC/Rio Tinto's 23 </w:t>
      </w:r>
      <w:proofErr w:type="spellStart"/>
      <w:r w:rsidRPr="00140634">
        <w:rPr>
          <w:rStyle w:val="Strong"/>
        </w:rPr>
        <w:t>mtpy</w:t>
      </w:r>
      <w:proofErr w:type="spellEnd"/>
      <w:r w:rsidRPr="00140634">
        <w:rPr>
          <w:rStyle w:val="Strong"/>
        </w:rPr>
        <w:t xml:space="preserve"> Carol Lake Mine in Labrador City, Labrador. High Tide is earning a 100% interest in the Clearcut Lithium Project in the emerging Cadillac-Pontiac lithium camp in Quebec. High Tide also holds a 100% interest in the Lac </w:t>
      </w:r>
      <w:proofErr w:type="spellStart"/>
      <w:r w:rsidRPr="00140634">
        <w:rPr>
          <w:rStyle w:val="Strong"/>
        </w:rPr>
        <w:t>Pegma</w:t>
      </w:r>
      <w:proofErr w:type="spellEnd"/>
      <w:r w:rsidRPr="00140634">
        <w:rPr>
          <w:rStyle w:val="Strong"/>
        </w:rPr>
        <w:t xml:space="preserve"> Copper-Nickel-Cobalt deposit located 50 </w:t>
      </w:r>
      <w:proofErr w:type="spellStart"/>
      <w:r w:rsidRPr="00140634">
        <w:rPr>
          <w:rStyle w:val="Strong"/>
        </w:rPr>
        <w:t>kilometres</w:t>
      </w:r>
      <w:proofErr w:type="spellEnd"/>
      <w:r w:rsidRPr="00140634">
        <w:rPr>
          <w:rStyle w:val="Strong"/>
        </w:rPr>
        <w:t xml:space="preserve"> southeast of Fermont, Quebec. High Tide's majority shareholder is </w:t>
      </w:r>
      <w:proofErr w:type="spellStart"/>
      <w:r w:rsidRPr="00140634">
        <w:rPr>
          <w:rStyle w:val="Strong"/>
        </w:rPr>
        <w:t>Avidian</w:t>
      </w:r>
      <w:proofErr w:type="spellEnd"/>
      <w:r w:rsidRPr="00140634">
        <w:rPr>
          <w:rStyle w:val="Strong"/>
        </w:rPr>
        <w:t xml:space="preserve"> Gold (TSX.V: AVG &amp; OTCQB: AVGDF).</w:t>
      </w:r>
    </w:p>
    <w:p w14:paraId="22AA18C0" w14:textId="77777777" w:rsidR="00E354C1" w:rsidRPr="00140634" w:rsidRDefault="00E354C1" w:rsidP="007F4150">
      <w:pPr>
        <w:spacing w:after="0"/>
        <w:ind w:left="-142"/>
        <w:jc w:val="both"/>
        <w:rPr>
          <w:rStyle w:val="Strong"/>
        </w:rPr>
      </w:pPr>
    </w:p>
    <w:p w14:paraId="0DD61998" w14:textId="4ABDAE75" w:rsidR="00E354C1" w:rsidRPr="0015676C" w:rsidRDefault="00E354C1" w:rsidP="007F4150">
      <w:pPr>
        <w:spacing w:after="0"/>
        <w:ind w:left="-142"/>
        <w:jc w:val="both"/>
        <w:rPr>
          <w:rFonts w:asciiTheme="minorHAnsi" w:hAnsiTheme="minorHAnsi" w:cstheme="minorHAnsi"/>
        </w:rPr>
      </w:pPr>
      <w:r w:rsidRPr="00140634">
        <w:rPr>
          <w:rStyle w:val="Strong"/>
        </w:rPr>
        <w:t>Further details on the Company, including a NI 43-101 technical report on the Labrador West Iron property can be found on the Company’s website at www.hightideresources.com.</w:t>
      </w:r>
    </w:p>
    <w:p w14:paraId="716DCC8C" w14:textId="242B0043" w:rsidR="007F4150" w:rsidRPr="0015676C" w:rsidRDefault="007F4150" w:rsidP="00140634">
      <w:pPr>
        <w:spacing w:after="0" w:line="240" w:lineRule="auto"/>
        <w:jc w:val="both"/>
        <w:textAlignment w:val="baseline"/>
        <w:rPr>
          <w:rFonts w:asciiTheme="minorHAnsi" w:eastAsia="Times New Roman" w:hAnsiTheme="minorHAnsi" w:cstheme="minorHAnsi"/>
          <w:b/>
          <w:bCs/>
          <w:lang w:val="en-CA" w:eastAsia="en-CA"/>
        </w:rPr>
      </w:pPr>
      <w:r w:rsidRPr="003357F7">
        <w:rPr>
          <w:rFonts w:eastAsia="Times New Roman" w:cs="Calibri"/>
          <w:b/>
          <w:bCs/>
          <w:color w:val="000000"/>
          <w:lang w:val="en-CA" w:eastAsia="en-CA"/>
        </w:rPr>
        <w:t> </w:t>
      </w:r>
    </w:p>
    <w:p w14:paraId="1C4D01A2" w14:textId="64F78F11" w:rsidR="007F4150" w:rsidRDefault="007F4150" w:rsidP="003357F7">
      <w:pPr>
        <w:spacing w:after="0"/>
        <w:ind w:left="-142"/>
        <w:jc w:val="both"/>
        <w:rPr>
          <w:rFonts w:eastAsia="Times New Roman" w:cs="Calibri"/>
          <w:b/>
          <w:bCs/>
          <w:color w:val="000000"/>
          <w:lang w:eastAsia="en-CA"/>
        </w:rPr>
      </w:pPr>
      <w:r w:rsidRPr="00140634">
        <w:rPr>
          <w:rFonts w:eastAsia="Times New Roman" w:cs="Calibri"/>
          <w:b/>
          <w:bCs/>
          <w:color w:val="000000"/>
          <w:lang w:eastAsia="en-CA"/>
        </w:rPr>
        <w:t>For further information, please contact:</w:t>
      </w:r>
    </w:p>
    <w:p w14:paraId="0838660E" w14:textId="77777777" w:rsidR="00E651EC" w:rsidRPr="00140634" w:rsidRDefault="00E651EC" w:rsidP="003357F7">
      <w:pPr>
        <w:spacing w:after="0"/>
        <w:ind w:left="-142"/>
        <w:jc w:val="both"/>
        <w:rPr>
          <w:rFonts w:eastAsia="Times New Roman" w:cs="Calibri"/>
          <w:b/>
          <w:bCs/>
          <w:color w:val="000000"/>
          <w:lang w:eastAsia="en-CA"/>
        </w:rPr>
      </w:pPr>
    </w:p>
    <w:p w14:paraId="1955CEA0"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Steve Roebuck</w:t>
      </w:r>
    </w:p>
    <w:p w14:paraId="0BE49DFB"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Director, President &amp; Interim CEO</w:t>
      </w:r>
    </w:p>
    <w:p w14:paraId="5C8D4F18" w14:textId="77777777" w:rsidR="00E651EC" w:rsidRP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Mobile: (905) 741-5458</w:t>
      </w:r>
    </w:p>
    <w:p w14:paraId="34202C4D" w14:textId="72CCDD2D" w:rsidR="00E651EC" w:rsidRDefault="00E651EC" w:rsidP="00E651EC">
      <w:pPr>
        <w:spacing w:after="0"/>
        <w:ind w:left="-142"/>
        <w:jc w:val="both"/>
        <w:rPr>
          <w:rFonts w:eastAsia="Times New Roman" w:cs="Calibri"/>
          <w:color w:val="000000"/>
          <w:lang w:eastAsia="en-CA"/>
        </w:rPr>
      </w:pPr>
      <w:r w:rsidRPr="00E651EC">
        <w:rPr>
          <w:rFonts w:eastAsia="Times New Roman" w:cs="Calibri"/>
          <w:color w:val="000000"/>
          <w:lang w:eastAsia="en-CA"/>
        </w:rPr>
        <w:t xml:space="preserve">Email: </w:t>
      </w:r>
      <w:hyperlink r:id="rId8" w:history="1">
        <w:r w:rsidRPr="00CE7BC0">
          <w:rPr>
            <w:rStyle w:val="Hyperlink"/>
            <w:rFonts w:eastAsia="Times New Roman" w:cs="Calibri"/>
            <w:lang w:eastAsia="en-CA"/>
          </w:rPr>
          <w:t>sroebuck@hightideresources.com</w:t>
        </w:r>
      </w:hyperlink>
    </w:p>
    <w:p w14:paraId="27F28D52" w14:textId="42FAB2E2" w:rsidR="007F4150" w:rsidRPr="003357F7" w:rsidRDefault="007F4150" w:rsidP="00140634">
      <w:pPr>
        <w:spacing w:after="0"/>
        <w:jc w:val="both"/>
        <w:rPr>
          <w:rFonts w:eastAsia="Times New Roman" w:cs="Calibri"/>
          <w:color w:val="000000"/>
          <w:lang w:eastAsia="en-CA"/>
        </w:rPr>
      </w:pPr>
    </w:p>
    <w:p w14:paraId="5FD0083C" w14:textId="77777777" w:rsidR="00E651EC" w:rsidRDefault="00A54FA0" w:rsidP="003357F7">
      <w:pPr>
        <w:spacing w:after="0"/>
        <w:ind w:left="-142"/>
        <w:jc w:val="both"/>
        <w:rPr>
          <w:rFonts w:eastAsia="Times New Roman" w:cs="Calibri"/>
          <w:color w:val="000000"/>
          <w:lang w:eastAsia="en-CA"/>
        </w:rPr>
      </w:pPr>
      <w:r w:rsidRPr="00140634">
        <w:rPr>
          <w:rFonts w:eastAsia="Times New Roman" w:cs="Calibri"/>
          <w:b/>
          <w:bCs/>
          <w:color w:val="000000"/>
          <w:lang w:eastAsia="en-CA"/>
        </w:rPr>
        <w:t>Cautionary Note Regarding Forward-Looking Statements:</w:t>
      </w:r>
    </w:p>
    <w:p w14:paraId="12B93BDE" w14:textId="77777777" w:rsidR="00E651EC" w:rsidRDefault="00E651EC" w:rsidP="003357F7">
      <w:pPr>
        <w:spacing w:after="0"/>
        <w:ind w:left="-142"/>
        <w:jc w:val="both"/>
        <w:rPr>
          <w:rFonts w:eastAsia="Times New Roman" w:cs="Calibri"/>
          <w:color w:val="000000"/>
          <w:lang w:eastAsia="en-CA"/>
        </w:rPr>
      </w:pPr>
    </w:p>
    <w:p w14:paraId="6B5FB50C" w14:textId="5409665A" w:rsidR="00A54FA0" w:rsidRDefault="00E651EC" w:rsidP="003357F7">
      <w:pPr>
        <w:spacing w:after="0"/>
        <w:ind w:left="-142"/>
        <w:jc w:val="both"/>
        <w:rPr>
          <w:rFonts w:eastAsia="Times New Roman" w:cs="Calibri"/>
          <w:color w:val="000000"/>
          <w:lang w:eastAsia="en-CA"/>
        </w:rPr>
      </w:pPr>
      <w:r w:rsidRPr="00E651EC">
        <w:rPr>
          <w:rFonts w:eastAsia="Times New Roman" w:cs="Calibri"/>
          <w:color w:val="000000"/>
          <w:lang w:eastAsia="en-CA"/>
        </w:rPr>
        <w:lastRenderedPageBreak/>
        <w:t>This news release includes certain "forward-looking statements" which are not comprised of historical facts.</w:t>
      </w:r>
      <w:r>
        <w:rPr>
          <w:rFonts w:eastAsia="Times New Roman" w:cs="Calibri"/>
          <w:color w:val="000000"/>
          <w:lang w:eastAsia="en-CA"/>
        </w:rPr>
        <w:t xml:space="preserve"> </w:t>
      </w:r>
      <w:r w:rsidRPr="00E651EC">
        <w:rPr>
          <w:rFonts w:eastAsia="Times New Roman" w:cs="Calibri"/>
          <w:color w:val="000000"/>
          <w:lang w:eastAsia="en-CA"/>
        </w:rPr>
        <w:t xml:space="preserve">Forward-looking statements include estimates and statements that describe the Company’s </w:t>
      </w:r>
      <w:proofErr w:type="gramStart"/>
      <w:r w:rsidRPr="00E651EC">
        <w:rPr>
          <w:rFonts w:eastAsia="Times New Roman" w:cs="Calibri"/>
          <w:color w:val="000000"/>
          <w:lang w:eastAsia="en-CA"/>
        </w:rPr>
        <w:t>future plans</w:t>
      </w:r>
      <w:proofErr w:type="gramEnd"/>
      <w:r w:rsidRPr="00E651EC">
        <w:rPr>
          <w:rFonts w:eastAsia="Times New Roman" w:cs="Calibri"/>
          <w:color w:val="000000"/>
          <w:lang w:eastAsia="en-CA"/>
        </w:rPr>
        <w:t>,</w:t>
      </w:r>
      <w:r>
        <w:rPr>
          <w:rFonts w:eastAsia="Times New Roman" w:cs="Calibri"/>
          <w:color w:val="000000"/>
          <w:lang w:eastAsia="en-CA"/>
        </w:rPr>
        <w:t xml:space="preserve"> </w:t>
      </w:r>
      <w:r w:rsidRPr="00E651EC">
        <w:rPr>
          <w:rFonts w:eastAsia="Times New Roman" w:cs="Calibri"/>
          <w:color w:val="000000"/>
          <w:lang w:eastAsia="en-CA"/>
        </w:rPr>
        <w:t>objectives or goals, including words to the effect that the Company or management expects a stated</w:t>
      </w:r>
      <w:r>
        <w:rPr>
          <w:rFonts w:eastAsia="Times New Roman" w:cs="Calibri"/>
          <w:color w:val="000000"/>
          <w:lang w:eastAsia="en-CA"/>
        </w:rPr>
        <w:t xml:space="preserve"> </w:t>
      </w:r>
      <w:r w:rsidRPr="00E651EC">
        <w:rPr>
          <w:rFonts w:eastAsia="Times New Roman" w:cs="Calibri"/>
          <w:color w:val="000000"/>
          <w:lang w:eastAsia="en-CA"/>
        </w:rPr>
        <w:t>condition or result to occur. Forward-looking statements may be identified by such terms as “believes”,</w:t>
      </w:r>
      <w:r>
        <w:rPr>
          <w:rFonts w:eastAsia="Times New Roman" w:cs="Calibri"/>
          <w:color w:val="000000"/>
          <w:lang w:eastAsia="en-CA"/>
        </w:rPr>
        <w:t xml:space="preserve"> </w:t>
      </w:r>
      <w:r w:rsidRPr="00E651EC">
        <w:rPr>
          <w:rFonts w:eastAsia="Times New Roman" w:cs="Calibri"/>
          <w:color w:val="000000"/>
          <w:lang w:eastAsia="en-CA"/>
        </w:rPr>
        <w:t>“anticipates”, “expects”, “estimates”, “may”, “could”, “would”, “will”, or “plan”. Since forward-looking</w:t>
      </w:r>
      <w:r>
        <w:rPr>
          <w:rFonts w:eastAsia="Times New Roman" w:cs="Calibri"/>
          <w:color w:val="000000"/>
          <w:lang w:eastAsia="en-CA"/>
        </w:rPr>
        <w:t xml:space="preserve"> </w:t>
      </w:r>
      <w:r w:rsidRPr="00E651EC">
        <w:rPr>
          <w:rFonts w:eastAsia="Times New Roman" w:cs="Calibri"/>
          <w:color w:val="000000"/>
          <w:lang w:eastAsia="en-CA"/>
        </w:rPr>
        <w:t>statements are based on assumptions and address future events and conditions, by their very nature they</w:t>
      </w:r>
      <w:r>
        <w:rPr>
          <w:rFonts w:eastAsia="Times New Roman" w:cs="Calibri"/>
          <w:color w:val="000000"/>
          <w:lang w:eastAsia="en-CA"/>
        </w:rPr>
        <w:t xml:space="preserve"> </w:t>
      </w:r>
      <w:r w:rsidRPr="00E651EC">
        <w:rPr>
          <w:rFonts w:eastAsia="Times New Roman" w:cs="Calibri"/>
          <w:color w:val="000000"/>
          <w:lang w:eastAsia="en-CA"/>
        </w:rPr>
        <w:t>involve inherent risks and uncertainties. Although these statements are based on information currently</w:t>
      </w:r>
      <w:r>
        <w:rPr>
          <w:rFonts w:eastAsia="Times New Roman" w:cs="Calibri"/>
          <w:color w:val="000000"/>
          <w:lang w:eastAsia="en-CA"/>
        </w:rPr>
        <w:t xml:space="preserve"> </w:t>
      </w:r>
      <w:r w:rsidRPr="00E651EC">
        <w:rPr>
          <w:rFonts w:eastAsia="Times New Roman" w:cs="Calibri"/>
          <w:color w:val="000000"/>
          <w:lang w:eastAsia="en-CA"/>
        </w:rPr>
        <w:t>available to the Company, the Company provides no assurance that actual results will meet management’s</w:t>
      </w:r>
      <w:r>
        <w:rPr>
          <w:rFonts w:eastAsia="Times New Roman" w:cs="Calibri"/>
          <w:color w:val="000000"/>
          <w:lang w:eastAsia="en-CA"/>
        </w:rPr>
        <w:t xml:space="preserve"> </w:t>
      </w:r>
      <w:r w:rsidRPr="00E651EC">
        <w:rPr>
          <w:rFonts w:eastAsia="Times New Roman" w:cs="Calibri"/>
          <w:color w:val="000000"/>
          <w:lang w:eastAsia="en-CA"/>
        </w:rPr>
        <w:t xml:space="preserve">expectations. Risks, </w:t>
      </w:r>
      <w:proofErr w:type="gramStart"/>
      <w:r w:rsidRPr="00E651EC">
        <w:rPr>
          <w:rFonts w:eastAsia="Times New Roman" w:cs="Calibri"/>
          <w:color w:val="000000"/>
          <w:lang w:eastAsia="en-CA"/>
        </w:rPr>
        <w:t>uncertainties</w:t>
      </w:r>
      <w:proofErr w:type="gramEnd"/>
      <w:r w:rsidRPr="00E651EC">
        <w:rPr>
          <w:rFonts w:eastAsia="Times New Roman" w:cs="Calibri"/>
          <w:color w:val="000000"/>
          <w:lang w:eastAsia="en-CA"/>
        </w:rPr>
        <w:t xml:space="preserve"> and other factors involved with forward-looking information could cause</w:t>
      </w:r>
      <w:r>
        <w:rPr>
          <w:rFonts w:eastAsia="Times New Roman" w:cs="Calibri"/>
          <w:color w:val="000000"/>
          <w:lang w:eastAsia="en-CA"/>
        </w:rPr>
        <w:t xml:space="preserve"> </w:t>
      </w:r>
      <w:r w:rsidRPr="00E651EC">
        <w:rPr>
          <w:rFonts w:eastAsia="Times New Roman" w:cs="Calibri"/>
          <w:color w:val="000000"/>
          <w:lang w:eastAsia="en-CA"/>
        </w:rPr>
        <w:t>actual events, results, performance, prospects and opportunities to differ materially from those expressed</w:t>
      </w:r>
      <w:r>
        <w:rPr>
          <w:rFonts w:eastAsia="Times New Roman" w:cs="Calibri"/>
          <w:color w:val="000000"/>
          <w:lang w:eastAsia="en-CA"/>
        </w:rPr>
        <w:t xml:space="preserve"> </w:t>
      </w:r>
      <w:r w:rsidRPr="00E651EC">
        <w:rPr>
          <w:rFonts w:eastAsia="Times New Roman" w:cs="Calibri"/>
          <w:color w:val="000000"/>
          <w:lang w:eastAsia="en-CA"/>
        </w:rPr>
        <w:t>or implied by such forward-looking information. Forward looking information in this news release includes,</w:t>
      </w:r>
      <w:r>
        <w:rPr>
          <w:rFonts w:eastAsia="Times New Roman" w:cs="Calibri"/>
          <w:color w:val="000000"/>
          <w:lang w:eastAsia="en-CA"/>
        </w:rPr>
        <w:t xml:space="preserve"> </w:t>
      </w:r>
      <w:r w:rsidRPr="00E651EC">
        <w:rPr>
          <w:rFonts w:eastAsia="Times New Roman" w:cs="Calibri"/>
          <w:color w:val="000000"/>
          <w:lang w:eastAsia="en-CA"/>
        </w:rPr>
        <w:t xml:space="preserve">but is not limited to, </w:t>
      </w:r>
      <w:r w:rsidR="006157CB" w:rsidRPr="006157CB">
        <w:rPr>
          <w:rFonts w:eastAsia="Times New Roman" w:cs="Calibri"/>
          <w:color w:val="000000"/>
          <w:lang w:eastAsia="en-CA"/>
        </w:rPr>
        <w:t>the size of the Offering, the completion and terms of the Offering,</w:t>
      </w:r>
      <w:r w:rsidR="006157CB">
        <w:rPr>
          <w:rFonts w:eastAsia="Times New Roman" w:cs="Calibri"/>
          <w:color w:val="000000"/>
          <w:lang w:eastAsia="en-CA"/>
        </w:rPr>
        <w:t xml:space="preserve"> the use of the proceeds from the Offering,</w:t>
      </w:r>
      <w:r w:rsidRPr="00E651EC">
        <w:rPr>
          <w:rFonts w:eastAsia="Times New Roman" w:cs="Calibri"/>
          <w:color w:val="000000"/>
          <w:lang w:eastAsia="en-CA"/>
        </w:rPr>
        <w:t xml:space="preserve"> </w:t>
      </w:r>
      <w:r w:rsidR="006157CB" w:rsidRPr="006157CB">
        <w:rPr>
          <w:rFonts w:eastAsia="Times New Roman" w:cs="Calibri"/>
          <w:color w:val="000000"/>
          <w:lang w:eastAsia="en-CA"/>
        </w:rPr>
        <w:t xml:space="preserve">renunciation and tax treatment of the FT Units, the </w:t>
      </w:r>
      <w:r w:rsidR="006F3857">
        <w:rPr>
          <w:rFonts w:eastAsia="Times New Roman" w:cs="Calibri"/>
          <w:color w:val="000000"/>
          <w:lang w:eastAsia="en-CA"/>
        </w:rPr>
        <w:t>c</w:t>
      </w:r>
      <w:r w:rsidR="006157CB" w:rsidRPr="006157CB">
        <w:rPr>
          <w:rFonts w:eastAsia="Times New Roman" w:cs="Calibri"/>
          <w:color w:val="000000"/>
          <w:lang w:eastAsia="en-CA"/>
        </w:rPr>
        <w:t xml:space="preserve">losing </w:t>
      </w:r>
      <w:r w:rsidR="006F3857">
        <w:rPr>
          <w:rFonts w:eastAsia="Times New Roman" w:cs="Calibri"/>
          <w:color w:val="000000"/>
          <w:lang w:eastAsia="en-CA"/>
        </w:rPr>
        <w:t>d</w:t>
      </w:r>
      <w:r w:rsidR="006157CB" w:rsidRPr="006157CB">
        <w:rPr>
          <w:rFonts w:eastAsia="Times New Roman" w:cs="Calibri"/>
          <w:color w:val="000000"/>
          <w:lang w:eastAsia="en-CA"/>
        </w:rPr>
        <w:t>ate,</w:t>
      </w:r>
      <w:r w:rsidR="006F3857">
        <w:rPr>
          <w:rFonts w:eastAsia="Times New Roman" w:cs="Calibri"/>
          <w:color w:val="000000"/>
          <w:lang w:eastAsia="en-CA"/>
        </w:rPr>
        <w:t xml:space="preserve"> the closing of the Second Tranche,</w:t>
      </w:r>
      <w:r w:rsidR="006157CB" w:rsidRPr="006157CB">
        <w:rPr>
          <w:rFonts w:eastAsia="Times New Roman" w:cs="Calibri"/>
          <w:color w:val="000000"/>
          <w:lang w:eastAsia="en-CA"/>
        </w:rPr>
        <w:t xml:space="preserve"> </w:t>
      </w:r>
      <w:r w:rsidRPr="00E651EC">
        <w:rPr>
          <w:rFonts w:eastAsia="Times New Roman" w:cs="Calibri"/>
          <w:color w:val="000000"/>
          <w:lang w:eastAsia="en-CA"/>
        </w:rPr>
        <w:t>the Company’s objectives, goals or future</w:t>
      </w:r>
      <w:r>
        <w:rPr>
          <w:rFonts w:eastAsia="Times New Roman" w:cs="Calibri"/>
          <w:color w:val="000000"/>
          <w:lang w:eastAsia="en-CA"/>
        </w:rPr>
        <w:t xml:space="preserve"> </w:t>
      </w:r>
      <w:r w:rsidRPr="00E651EC">
        <w:rPr>
          <w:rFonts w:eastAsia="Times New Roman" w:cs="Calibri"/>
          <w:color w:val="000000"/>
          <w:lang w:eastAsia="en-CA"/>
        </w:rPr>
        <w:t>plans, statements, exploration results, potential mineralization, the estimation of mineral resources,</w:t>
      </w:r>
      <w:r>
        <w:rPr>
          <w:rFonts w:eastAsia="Times New Roman" w:cs="Calibri"/>
          <w:color w:val="000000"/>
          <w:lang w:eastAsia="en-CA"/>
        </w:rPr>
        <w:t xml:space="preserve"> </w:t>
      </w:r>
      <w:r w:rsidRPr="00E651EC">
        <w:rPr>
          <w:rFonts w:eastAsia="Times New Roman" w:cs="Calibri"/>
          <w:color w:val="000000"/>
          <w:lang w:eastAsia="en-CA"/>
        </w:rPr>
        <w:t>exploration and mine development plans, timing of the commencement of operations and estimates of</w:t>
      </w:r>
      <w:r>
        <w:rPr>
          <w:rFonts w:eastAsia="Times New Roman" w:cs="Calibri"/>
          <w:color w:val="000000"/>
          <w:lang w:eastAsia="en-CA"/>
        </w:rPr>
        <w:t xml:space="preserve"> </w:t>
      </w:r>
      <w:r w:rsidRPr="00E651EC">
        <w:rPr>
          <w:rFonts w:eastAsia="Times New Roman" w:cs="Calibri"/>
          <w:color w:val="000000"/>
          <w:lang w:eastAsia="en-CA"/>
        </w:rPr>
        <w:t>market conditions. Factors that could cause actual results to differ materially from such forward-looking</w:t>
      </w:r>
      <w:r>
        <w:rPr>
          <w:rFonts w:eastAsia="Times New Roman" w:cs="Calibri"/>
          <w:color w:val="000000"/>
          <w:lang w:eastAsia="en-CA"/>
        </w:rPr>
        <w:t xml:space="preserve"> </w:t>
      </w:r>
      <w:r w:rsidRPr="00E651EC">
        <w:rPr>
          <w:rFonts w:eastAsia="Times New Roman" w:cs="Calibri"/>
          <w:color w:val="000000"/>
          <w:lang w:eastAsia="en-CA"/>
        </w:rPr>
        <w:t>information include, but are not limited to: the ability to anticipate and counteract the effects of COVID-19</w:t>
      </w:r>
      <w:r>
        <w:rPr>
          <w:rFonts w:eastAsia="Times New Roman" w:cs="Calibri"/>
          <w:color w:val="000000"/>
          <w:lang w:eastAsia="en-CA"/>
        </w:rPr>
        <w:t xml:space="preserve"> </w:t>
      </w:r>
      <w:r w:rsidRPr="00E651EC">
        <w:rPr>
          <w:rFonts w:eastAsia="Times New Roman" w:cs="Calibri"/>
          <w:color w:val="000000"/>
          <w:lang w:eastAsia="en-CA"/>
        </w:rPr>
        <w:t>pandemic on the business of the Company, including without limitation the effects of COVID-19 on the</w:t>
      </w:r>
      <w:r>
        <w:rPr>
          <w:rFonts w:eastAsia="Times New Roman" w:cs="Calibri"/>
          <w:color w:val="000000"/>
          <w:lang w:eastAsia="en-CA"/>
        </w:rPr>
        <w:t xml:space="preserve"> </w:t>
      </w:r>
      <w:r w:rsidRPr="00E651EC">
        <w:rPr>
          <w:rFonts w:eastAsia="Times New Roman" w:cs="Calibri"/>
          <w:color w:val="000000"/>
          <w:lang w:eastAsia="en-CA"/>
        </w:rPr>
        <w:t xml:space="preserve">capital markets, commodity prices supply chain disruptions, restrictions on </w:t>
      </w:r>
      <w:proofErr w:type="spellStart"/>
      <w:r w:rsidRPr="00E651EC">
        <w:rPr>
          <w:rFonts w:eastAsia="Times New Roman" w:cs="Calibri"/>
          <w:color w:val="000000"/>
          <w:lang w:eastAsia="en-CA"/>
        </w:rPr>
        <w:t>labour</w:t>
      </w:r>
      <w:proofErr w:type="spellEnd"/>
      <w:r w:rsidRPr="00E651EC">
        <w:rPr>
          <w:rFonts w:eastAsia="Times New Roman" w:cs="Calibri"/>
          <w:color w:val="000000"/>
          <w:lang w:eastAsia="en-CA"/>
        </w:rPr>
        <w:t xml:space="preserve"> and workplace</w:t>
      </w:r>
      <w:r>
        <w:rPr>
          <w:rFonts w:eastAsia="Times New Roman" w:cs="Calibri"/>
          <w:color w:val="000000"/>
          <w:lang w:eastAsia="en-CA"/>
        </w:rPr>
        <w:t xml:space="preserve"> </w:t>
      </w:r>
      <w:r w:rsidRPr="00E651EC">
        <w:rPr>
          <w:rFonts w:eastAsia="Times New Roman" w:cs="Calibri"/>
          <w:color w:val="000000"/>
          <w:lang w:eastAsia="en-CA"/>
        </w:rPr>
        <w:t>attendance and local and international travel, failure to receive requisite approvals in respect of the</w:t>
      </w:r>
      <w:r>
        <w:rPr>
          <w:rFonts w:eastAsia="Times New Roman" w:cs="Calibri"/>
          <w:color w:val="000000"/>
          <w:lang w:eastAsia="en-CA"/>
        </w:rPr>
        <w:t xml:space="preserve"> </w:t>
      </w:r>
      <w:r w:rsidRPr="00E651EC">
        <w:rPr>
          <w:rFonts w:eastAsia="Times New Roman" w:cs="Calibri"/>
          <w:color w:val="000000"/>
          <w:lang w:eastAsia="en-CA"/>
        </w:rPr>
        <w:t>foregoing, failure to identify mineral resources, failure to convert estimated mineral resources to reserves,</w:t>
      </w:r>
      <w:r>
        <w:rPr>
          <w:rFonts w:eastAsia="Times New Roman" w:cs="Calibri"/>
          <w:color w:val="000000"/>
          <w:lang w:eastAsia="en-CA"/>
        </w:rPr>
        <w:t xml:space="preserve"> </w:t>
      </w:r>
      <w:r w:rsidRPr="00E651EC">
        <w:rPr>
          <w:rFonts w:eastAsia="Times New Roman" w:cs="Calibri"/>
          <w:color w:val="000000"/>
          <w:lang w:eastAsia="en-CA"/>
        </w:rPr>
        <w:t>the inability to complete a feasibility study which recommends a production decision, the preliminary nature</w:t>
      </w:r>
      <w:r>
        <w:rPr>
          <w:rFonts w:eastAsia="Times New Roman" w:cs="Calibri"/>
          <w:color w:val="000000"/>
          <w:lang w:eastAsia="en-CA"/>
        </w:rPr>
        <w:t xml:space="preserve"> </w:t>
      </w:r>
      <w:r w:rsidRPr="00E651EC">
        <w:rPr>
          <w:rFonts w:eastAsia="Times New Roman" w:cs="Calibri"/>
          <w:color w:val="000000"/>
          <w:lang w:eastAsia="en-CA"/>
        </w:rPr>
        <w:t>of metallurgical test results, delays in obtaining or failures to obtain required governmental, environmental</w:t>
      </w:r>
      <w:r>
        <w:rPr>
          <w:rFonts w:eastAsia="Times New Roman" w:cs="Calibri"/>
          <w:color w:val="000000"/>
          <w:lang w:eastAsia="en-CA"/>
        </w:rPr>
        <w:t xml:space="preserve"> </w:t>
      </w:r>
      <w:r w:rsidRPr="00E651EC">
        <w:rPr>
          <w:rFonts w:eastAsia="Times New Roman" w:cs="Calibri"/>
          <w:color w:val="000000"/>
          <w:lang w:eastAsia="en-CA"/>
        </w:rPr>
        <w:t>or other project approvals, political risks, inability to fulfill the duty to accommodate First Nations and</w:t>
      </w:r>
      <w:r>
        <w:rPr>
          <w:rFonts w:eastAsia="Times New Roman" w:cs="Calibri"/>
          <w:color w:val="000000"/>
          <w:lang w:eastAsia="en-CA"/>
        </w:rPr>
        <w:t xml:space="preserve"> </w:t>
      </w:r>
      <w:r w:rsidRPr="00E651EC">
        <w:rPr>
          <w:rFonts w:eastAsia="Times New Roman" w:cs="Calibri"/>
          <w:color w:val="000000"/>
          <w:lang w:eastAsia="en-CA"/>
        </w:rPr>
        <w:t>other indigenous peoples, uncertainties relating to the availability and costs of financing needed in the</w:t>
      </w:r>
      <w:r>
        <w:rPr>
          <w:rFonts w:eastAsia="Times New Roman" w:cs="Calibri"/>
          <w:color w:val="000000"/>
          <w:lang w:eastAsia="en-CA"/>
        </w:rPr>
        <w:t xml:space="preserve"> </w:t>
      </w:r>
      <w:r w:rsidRPr="00E651EC">
        <w:rPr>
          <w:rFonts w:eastAsia="Times New Roman" w:cs="Calibri"/>
          <w:color w:val="000000"/>
          <w:lang w:eastAsia="en-CA"/>
        </w:rPr>
        <w:t>future, changes in equity markets, inflation, changes in exchange rates, fluctuations in commodity prices,</w:t>
      </w:r>
      <w:r>
        <w:rPr>
          <w:rFonts w:eastAsia="Times New Roman" w:cs="Calibri"/>
          <w:color w:val="000000"/>
          <w:lang w:eastAsia="en-CA"/>
        </w:rPr>
        <w:t xml:space="preserve"> </w:t>
      </w:r>
      <w:r w:rsidRPr="00E651EC">
        <w:rPr>
          <w:rFonts w:eastAsia="Times New Roman" w:cs="Calibri"/>
          <w:color w:val="000000"/>
          <w:lang w:eastAsia="en-CA"/>
        </w:rPr>
        <w:t>delays in the development of projects, capital and operating costs varying significantly from estimates and</w:t>
      </w:r>
      <w:r>
        <w:rPr>
          <w:rFonts w:eastAsia="Times New Roman" w:cs="Calibri"/>
          <w:color w:val="000000"/>
          <w:lang w:eastAsia="en-CA"/>
        </w:rPr>
        <w:t xml:space="preserve"> </w:t>
      </w:r>
      <w:r w:rsidRPr="00E651EC">
        <w:rPr>
          <w:rFonts w:eastAsia="Times New Roman" w:cs="Calibri"/>
          <w:color w:val="000000"/>
          <w:lang w:eastAsia="en-CA"/>
        </w:rPr>
        <w:t>the other risks involved in the mineral exploration and development industry, and those risks set out in the</w:t>
      </w:r>
      <w:r>
        <w:rPr>
          <w:rFonts w:eastAsia="Times New Roman" w:cs="Calibri"/>
          <w:color w:val="000000"/>
          <w:lang w:eastAsia="en-CA"/>
        </w:rPr>
        <w:t xml:space="preserve"> </w:t>
      </w:r>
      <w:r w:rsidRPr="00E651EC">
        <w:rPr>
          <w:rFonts w:eastAsia="Times New Roman" w:cs="Calibri"/>
          <w:color w:val="000000"/>
          <w:lang w:eastAsia="en-CA"/>
        </w:rPr>
        <w:t>Company’s public documents filed on SEDAR. Although the Company believes that the assumptions and</w:t>
      </w:r>
      <w:r>
        <w:rPr>
          <w:rFonts w:eastAsia="Times New Roman" w:cs="Calibri"/>
          <w:color w:val="000000"/>
          <w:lang w:eastAsia="en-CA"/>
        </w:rPr>
        <w:t xml:space="preserve"> </w:t>
      </w:r>
      <w:r w:rsidRPr="00E651EC">
        <w:rPr>
          <w:rFonts w:eastAsia="Times New Roman" w:cs="Calibri"/>
          <w:color w:val="000000"/>
          <w:lang w:eastAsia="en-CA"/>
        </w:rPr>
        <w:t>factors used in preparing the forward-looking information in this news release are reasonable, undue</w:t>
      </w:r>
      <w:r>
        <w:rPr>
          <w:rFonts w:eastAsia="Times New Roman" w:cs="Calibri"/>
          <w:color w:val="000000"/>
          <w:lang w:eastAsia="en-CA"/>
        </w:rPr>
        <w:t xml:space="preserve"> </w:t>
      </w:r>
      <w:r w:rsidRPr="00E651EC">
        <w:rPr>
          <w:rFonts w:eastAsia="Times New Roman" w:cs="Calibri"/>
          <w:color w:val="000000"/>
          <w:lang w:eastAsia="en-CA"/>
        </w:rPr>
        <w:t>reliance should not be placed on such information, which only applies as of the date of this news release,</w:t>
      </w:r>
      <w:r>
        <w:rPr>
          <w:rFonts w:eastAsia="Times New Roman" w:cs="Calibri"/>
          <w:color w:val="000000"/>
          <w:lang w:eastAsia="en-CA"/>
        </w:rPr>
        <w:t xml:space="preserve"> </w:t>
      </w:r>
      <w:r w:rsidRPr="00E651EC">
        <w:rPr>
          <w:rFonts w:eastAsia="Times New Roman" w:cs="Calibri"/>
          <w:color w:val="000000"/>
          <w:lang w:eastAsia="en-CA"/>
        </w:rPr>
        <w:t>and no assurance can be given that such events will occur in the disclosed time frames or at all. The</w:t>
      </w:r>
      <w:r>
        <w:rPr>
          <w:rFonts w:eastAsia="Times New Roman" w:cs="Calibri"/>
          <w:color w:val="000000"/>
          <w:lang w:eastAsia="en-CA"/>
        </w:rPr>
        <w:t xml:space="preserve"> </w:t>
      </w:r>
      <w:r w:rsidRPr="00E651EC">
        <w:rPr>
          <w:rFonts w:eastAsia="Times New Roman" w:cs="Calibri"/>
          <w:color w:val="000000"/>
          <w:lang w:eastAsia="en-CA"/>
        </w:rPr>
        <w:t>Company disclaims any intention or obligation to update or revise any forward-looking information,</w:t>
      </w:r>
      <w:r>
        <w:rPr>
          <w:rFonts w:eastAsia="Times New Roman" w:cs="Calibri"/>
          <w:color w:val="000000"/>
          <w:lang w:eastAsia="en-CA"/>
        </w:rPr>
        <w:t xml:space="preserve"> </w:t>
      </w:r>
      <w:r w:rsidRPr="00E651EC">
        <w:rPr>
          <w:rFonts w:eastAsia="Times New Roman" w:cs="Calibri"/>
          <w:color w:val="000000"/>
          <w:lang w:eastAsia="en-CA"/>
        </w:rPr>
        <w:t xml:space="preserve">whether </w:t>
      </w:r>
      <w:proofErr w:type="gramStart"/>
      <w:r w:rsidRPr="00E651EC">
        <w:rPr>
          <w:rFonts w:eastAsia="Times New Roman" w:cs="Calibri"/>
          <w:color w:val="000000"/>
          <w:lang w:eastAsia="en-CA"/>
        </w:rPr>
        <w:t>as a result of</w:t>
      </w:r>
      <w:proofErr w:type="gramEnd"/>
      <w:r w:rsidRPr="00E651EC">
        <w:rPr>
          <w:rFonts w:eastAsia="Times New Roman" w:cs="Calibri"/>
          <w:color w:val="000000"/>
          <w:lang w:eastAsia="en-CA"/>
        </w:rPr>
        <w:t xml:space="preserve"> new information, future events or otherwise, other than as required by law.</w:t>
      </w:r>
      <w:r>
        <w:rPr>
          <w:rFonts w:eastAsia="Times New Roman" w:cs="Calibri"/>
          <w:color w:val="000000"/>
          <w:lang w:eastAsia="en-CA"/>
        </w:rPr>
        <w:t xml:space="preserve"> </w:t>
      </w:r>
    </w:p>
    <w:p w14:paraId="42E4413C" w14:textId="77777777" w:rsidR="00E651EC" w:rsidRPr="003357F7" w:rsidRDefault="00E651EC" w:rsidP="003357F7">
      <w:pPr>
        <w:spacing w:after="0"/>
        <w:ind w:left="-142"/>
        <w:jc w:val="both"/>
        <w:rPr>
          <w:rFonts w:eastAsia="Times New Roman" w:cs="Calibri"/>
          <w:color w:val="000000"/>
          <w:lang w:eastAsia="en-CA"/>
        </w:rPr>
      </w:pPr>
    </w:p>
    <w:p w14:paraId="1163C25E" w14:textId="0DAC9F39" w:rsidR="00AC307B" w:rsidRPr="003357F7" w:rsidRDefault="00A54FA0" w:rsidP="00E651EC">
      <w:pPr>
        <w:spacing w:after="0"/>
        <w:ind w:left="-142"/>
        <w:jc w:val="both"/>
        <w:rPr>
          <w:rFonts w:eastAsia="Times New Roman" w:cs="Calibri"/>
          <w:color w:val="000000"/>
          <w:lang w:eastAsia="en-CA"/>
        </w:rPr>
      </w:pPr>
      <w:r w:rsidRPr="003357F7">
        <w:rPr>
          <w:rFonts w:eastAsia="Times New Roman" w:cs="Calibri"/>
          <w:color w:val="000000"/>
          <w:lang w:eastAsia="en-CA"/>
        </w:rPr>
        <w:t>The Canadian Securities Exchange does not accept responsibility for the adequacy or accuracy of this news release.</w:t>
      </w:r>
    </w:p>
    <w:sectPr w:rsidR="00AC307B" w:rsidRPr="003357F7" w:rsidSect="00724AC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464A" w14:textId="77777777" w:rsidR="00065351" w:rsidRDefault="00065351" w:rsidP="002528ED">
      <w:pPr>
        <w:spacing w:after="0" w:line="240" w:lineRule="auto"/>
      </w:pPr>
      <w:r>
        <w:separator/>
      </w:r>
    </w:p>
  </w:endnote>
  <w:endnote w:type="continuationSeparator" w:id="0">
    <w:p w14:paraId="1C8A6C5F" w14:textId="77777777" w:rsidR="00065351" w:rsidRDefault="00065351" w:rsidP="002528ED">
      <w:pPr>
        <w:spacing w:after="0" w:line="240" w:lineRule="auto"/>
      </w:pPr>
      <w:r>
        <w:continuationSeparator/>
      </w:r>
    </w:p>
  </w:endnote>
  <w:endnote w:type="continuationNotice" w:id="1">
    <w:p w14:paraId="24307FF1" w14:textId="77777777" w:rsidR="00065351" w:rsidRDefault="00065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FE2" w14:textId="45740E6D" w:rsidR="004E2B5B" w:rsidRDefault="004E2B5B">
    <w:pPr>
      <w:pStyle w:val="Footer"/>
    </w:pPr>
  </w:p>
  <w:p w14:paraId="657EB5E7" w14:textId="4C6CF93E" w:rsidR="004E2B5B" w:rsidRDefault="004E2B5B" w:rsidP="002528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6923" w14:textId="77777777" w:rsidR="00065351" w:rsidRDefault="00065351" w:rsidP="002528ED">
      <w:pPr>
        <w:spacing w:after="0" w:line="240" w:lineRule="auto"/>
      </w:pPr>
      <w:r>
        <w:separator/>
      </w:r>
    </w:p>
  </w:footnote>
  <w:footnote w:type="continuationSeparator" w:id="0">
    <w:p w14:paraId="5D97E2CB" w14:textId="77777777" w:rsidR="00065351" w:rsidRDefault="00065351" w:rsidP="002528ED">
      <w:pPr>
        <w:spacing w:after="0" w:line="240" w:lineRule="auto"/>
      </w:pPr>
      <w:r>
        <w:continuationSeparator/>
      </w:r>
    </w:p>
  </w:footnote>
  <w:footnote w:type="continuationNotice" w:id="1">
    <w:p w14:paraId="2205D13C" w14:textId="77777777" w:rsidR="00065351" w:rsidRDefault="00065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1322" w14:textId="59B02F1D" w:rsidR="004E2B5B" w:rsidRDefault="00BE41C6" w:rsidP="006157CB">
    <w:pPr>
      <w:pStyle w:val="Header"/>
      <w:jc w:val="center"/>
    </w:pPr>
    <w:r>
      <w:rPr>
        <w:noProof/>
      </w:rPr>
      <w:drawing>
        <wp:inline distT="0" distB="0" distL="0" distR="0" wp14:anchorId="16D479F8" wp14:editId="480354C0">
          <wp:extent cx="2600325" cy="7270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196" cy="751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4EA"/>
    <w:multiLevelType w:val="hybridMultilevel"/>
    <w:tmpl w:val="03AA05C2"/>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80E95"/>
    <w:multiLevelType w:val="hybridMultilevel"/>
    <w:tmpl w:val="55A0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46CC1"/>
    <w:multiLevelType w:val="hybridMultilevel"/>
    <w:tmpl w:val="CD001F06"/>
    <w:lvl w:ilvl="0" w:tplc="71D43520">
      <w:start w:val="1"/>
      <w:numFmt w:val="bullet"/>
      <w:lvlText w:val="•"/>
      <w:lvlJc w:val="left"/>
      <w:pPr>
        <w:tabs>
          <w:tab w:val="num" w:pos="720"/>
        </w:tabs>
        <w:ind w:left="720" w:hanging="360"/>
      </w:pPr>
      <w:rPr>
        <w:rFonts w:ascii="Arial" w:hAnsi="Arial" w:hint="default"/>
      </w:rPr>
    </w:lvl>
    <w:lvl w:ilvl="1" w:tplc="79620E6E">
      <w:start w:val="1"/>
      <w:numFmt w:val="bullet"/>
      <w:lvlText w:val="•"/>
      <w:lvlJc w:val="left"/>
      <w:pPr>
        <w:tabs>
          <w:tab w:val="num" w:pos="1440"/>
        </w:tabs>
        <w:ind w:left="1440" w:hanging="360"/>
      </w:pPr>
      <w:rPr>
        <w:rFonts w:ascii="Arial" w:hAnsi="Arial" w:hint="default"/>
      </w:rPr>
    </w:lvl>
    <w:lvl w:ilvl="2" w:tplc="02700454" w:tentative="1">
      <w:start w:val="1"/>
      <w:numFmt w:val="bullet"/>
      <w:lvlText w:val="•"/>
      <w:lvlJc w:val="left"/>
      <w:pPr>
        <w:tabs>
          <w:tab w:val="num" w:pos="2160"/>
        </w:tabs>
        <w:ind w:left="2160" w:hanging="360"/>
      </w:pPr>
      <w:rPr>
        <w:rFonts w:ascii="Arial" w:hAnsi="Arial" w:hint="default"/>
      </w:rPr>
    </w:lvl>
    <w:lvl w:ilvl="3" w:tplc="5F6C1050" w:tentative="1">
      <w:start w:val="1"/>
      <w:numFmt w:val="bullet"/>
      <w:lvlText w:val="•"/>
      <w:lvlJc w:val="left"/>
      <w:pPr>
        <w:tabs>
          <w:tab w:val="num" w:pos="2880"/>
        </w:tabs>
        <w:ind w:left="2880" w:hanging="360"/>
      </w:pPr>
      <w:rPr>
        <w:rFonts w:ascii="Arial" w:hAnsi="Arial" w:hint="default"/>
      </w:rPr>
    </w:lvl>
    <w:lvl w:ilvl="4" w:tplc="527A9F5A" w:tentative="1">
      <w:start w:val="1"/>
      <w:numFmt w:val="bullet"/>
      <w:lvlText w:val="•"/>
      <w:lvlJc w:val="left"/>
      <w:pPr>
        <w:tabs>
          <w:tab w:val="num" w:pos="3600"/>
        </w:tabs>
        <w:ind w:left="3600" w:hanging="360"/>
      </w:pPr>
      <w:rPr>
        <w:rFonts w:ascii="Arial" w:hAnsi="Arial" w:hint="default"/>
      </w:rPr>
    </w:lvl>
    <w:lvl w:ilvl="5" w:tplc="E25ED61A" w:tentative="1">
      <w:start w:val="1"/>
      <w:numFmt w:val="bullet"/>
      <w:lvlText w:val="•"/>
      <w:lvlJc w:val="left"/>
      <w:pPr>
        <w:tabs>
          <w:tab w:val="num" w:pos="4320"/>
        </w:tabs>
        <w:ind w:left="4320" w:hanging="360"/>
      </w:pPr>
      <w:rPr>
        <w:rFonts w:ascii="Arial" w:hAnsi="Arial" w:hint="default"/>
      </w:rPr>
    </w:lvl>
    <w:lvl w:ilvl="6" w:tplc="39A00BC0" w:tentative="1">
      <w:start w:val="1"/>
      <w:numFmt w:val="bullet"/>
      <w:lvlText w:val="•"/>
      <w:lvlJc w:val="left"/>
      <w:pPr>
        <w:tabs>
          <w:tab w:val="num" w:pos="5040"/>
        </w:tabs>
        <w:ind w:left="5040" w:hanging="360"/>
      </w:pPr>
      <w:rPr>
        <w:rFonts w:ascii="Arial" w:hAnsi="Arial" w:hint="default"/>
      </w:rPr>
    </w:lvl>
    <w:lvl w:ilvl="7" w:tplc="1DD83F88" w:tentative="1">
      <w:start w:val="1"/>
      <w:numFmt w:val="bullet"/>
      <w:lvlText w:val="•"/>
      <w:lvlJc w:val="left"/>
      <w:pPr>
        <w:tabs>
          <w:tab w:val="num" w:pos="5760"/>
        </w:tabs>
        <w:ind w:left="5760" w:hanging="360"/>
      </w:pPr>
      <w:rPr>
        <w:rFonts w:ascii="Arial" w:hAnsi="Arial" w:hint="default"/>
      </w:rPr>
    </w:lvl>
    <w:lvl w:ilvl="8" w:tplc="D9B0F6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C40C49"/>
    <w:multiLevelType w:val="hybridMultilevel"/>
    <w:tmpl w:val="5D5AC9A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6BB26BF5"/>
    <w:multiLevelType w:val="hybridMultilevel"/>
    <w:tmpl w:val="D00CF410"/>
    <w:lvl w:ilvl="0" w:tplc="B7942CE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3685528">
    <w:abstractNumId w:val="3"/>
  </w:num>
  <w:num w:numId="2" w16cid:durableId="355932622">
    <w:abstractNumId w:val="4"/>
  </w:num>
  <w:num w:numId="3" w16cid:durableId="590703292">
    <w:abstractNumId w:val="1"/>
  </w:num>
  <w:num w:numId="4" w16cid:durableId="1740322669">
    <w:abstractNumId w:val="2"/>
  </w:num>
  <w:num w:numId="5" w16cid:durableId="145046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057FF8-5266-4CD6-BF2F-3EEE90B81525}"/>
    <w:docVar w:name="dgnword-eventsink" w:val="690405344"/>
  </w:docVars>
  <w:rsids>
    <w:rsidRoot w:val="002528ED"/>
    <w:rsid w:val="00001C10"/>
    <w:rsid w:val="000024B4"/>
    <w:rsid w:val="00011065"/>
    <w:rsid w:val="0001175D"/>
    <w:rsid w:val="00011764"/>
    <w:rsid w:val="0001299E"/>
    <w:rsid w:val="00014ABD"/>
    <w:rsid w:val="00026C77"/>
    <w:rsid w:val="00033D8E"/>
    <w:rsid w:val="00042D82"/>
    <w:rsid w:val="00055E35"/>
    <w:rsid w:val="00056F49"/>
    <w:rsid w:val="00065351"/>
    <w:rsid w:val="0006597B"/>
    <w:rsid w:val="00066722"/>
    <w:rsid w:val="00066DB2"/>
    <w:rsid w:val="0007154F"/>
    <w:rsid w:val="00073549"/>
    <w:rsid w:val="00075F29"/>
    <w:rsid w:val="00083318"/>
    <w:rsid w:val="00085F16"/>
    <w:rsid w:val="000879D3"/>
    <w:rsid w:val="00090F12"/>
    <w:rsid w:val="000921B1"/>
    <w:rsid w:val="000971C2"/>
    <w:rsid w:val="000A7461"/>
    <w:rsid w:val="000A79E1"/>
    <w:rsid w:val="000C6048"/>
    <w:rsid w:val="000D0D23"/>
    <w:rsid w:val="000D2414"/>
    <w:rsid w:val="000D3B62"/>
    <w:rsid w:val="000D69E7"/>
    <w:rsid w:val="000E37C9"/>
    <w:rsid w:val="000E4DDD"/>
    <w:rsid w:val="000E5B5A"/>
    <w:rsid w:val="000F5E4D"/>
    <w:rsid w:val="000F794B"/>
    <w:rsid w:val="000F7AA7"/>
    <w:rsid w:val="0010761A"/>
    <w:rsid w:val="00116DC0"/>
    <w:rsid w:val="0012053A"/>
    <w:rsid w:val="001210C3"/>
    <w:rsid w:val="00121598"/>
    <w:rsid w:val="001221CA"/>
    <w:rsid w:val="0012498B"/>
    <w:rsid w:val="00137D16"/>
    <w:rsid w:val="00140634"/>
    <w:rsid w:val="00146ED5"/>
    <w:rsid w:val="0015741D"/>
    <w:rsid w:val="00164FB8"/>
    <w:rsid w:val="00173D37"/>
    <w:rsid w:val="00176148"/>
    <w:rsid w:val="00176990"/>
    <w:rsid w:val="00177947"/>
    <w:rsid w:val="001818EC"/>
    <w:rsid w:val="001906BE"/>
    <w:rsid w:val="00195C8D"/>
    <w:rsid w:val="001A368D"/>
    <w:rsid w:val="001A6D05"/>
    <w:rsid w:val="001C47C4"/>
    <w:rsid w:val="001C512A"/>
    <w:rsid w:val="001E50BC"/>
    <w:rsid w:val="001E5C50"/>
    <w:rsid w:val="001E7F87"/>
    <w:rsid w:val="001F3B45"/>
    <w:rsid w:val="001F6FF9"/>
    <w:rsid w:val="00200E8B"/>
    <w:rsid w:val="0020316D"/>
    <w:rsid w:val="00207906"/>
    <w:rsid w:val="00207A82"/>
    <w:rsid w:val="00212F38"/>
    <w:rsid w:val="0022214F"/>
    <w:rsid w:val="00222533"/>
    <w:rsid w:val="00233A49"/>
    <w:rsid w:val="00237B3E"/>
    <w:rsid w:val="00244731"/>
    <w:rsid w:val="0024796E"/>
    <w:rsid w:val="002528ED"/>
    <w:rsid w:val="00253B60"/>
    <w:rsid w:val="00254F66"/>
    <w:rsid w:val="00260422"/>
    <w:rsid w:val="00262204"/>
    <w:rsid w:val="00262D6E"/>
    <w:rsid w:val="002634FE"/>
    <w:rsid w:val="00265963"/>
    <w:rsid w:val="00295CE6"/>
    <w:rsid w:val="00295FE3"/>
    <w:rsid w:val="00296A0F"/>
    <w:rsid w:val="002B60A7"/>
    <w:rsid w:val="002C01D7"/>
    <w:rsid w:val="002C38B0"/>
    <w:rsid w:val="002C523A"/>
    <w:rsid w:val="002D6090"/>
    <w:rsid w:val="002E026A"/>
    <w:rsid w:val="002E15AD"/>
    <w:rsid w:val="002E5A83"/>
    <w:rsid w:val="002E5EAA"/>
    <w:rsid w:val="002E78FE"/>
    <w:rsid w:val="002F387C"/>
    <w:rsid w:val="002F3DBB"/>
    <w:rsid w:val="002F4E6C"/>
    <w:rsid w:val="00303B69"/>
    <w:rsid w:val="0030668E"/>
    <w:rsid w:val="00310163"/>
    <w:rsid w:val="0031216C"/>
    <w:rsid w:val="0031668F"/>
    <w:rsid w:val="00321FC1"/>
    <w:rsid w:val="003257FA"/>
    <w:rsid w:val="003357D4"/>
    <w:rsid w:val="003357F7"/>
    <w:rsid w:val="00336A59"/>
    <w:rsid w:val="00341FC6"/>
    <w:rsid w:val="00352CF3"/>
    <w:rsid w:val="00355DF2"/>
    <w:rsid w:val="00356AAF"/>
    <w:rsid w:val="0035737B"/>
    <w:rsid w:val="00364523"/>
    <w:rsid w:val="00365309"/>
    <w:rsid w:val="00367843"/>
    <w:rsid w:val="003778B7"/>
    <w:rsid w:val="00384229"/>
    <w:rsid w:val="00386751"/>
    <w:rsid w:val="00387A40"/>
    <w:rsid w:val="00387D55"/>
    <w:rsid w:val="003932FD"/>
    <w:rsid w:val="003A1172"/>
    <w:rsid w:val="003A7685"/>
    <w:rsid w:val="003B526D"/>
    <w:rsid w:val="003C1F35"/>
    <w:rsid w:val="003C4EC2"/>
    <w:rsid w:val="003C7EDC"/>
    <w:rsid w:val="003D2CFE"/>
    <w:rsid w:val="003D4DA4"/>
    <w:rsid w:val="003E399F"/>
    <w:rsid w:val="003E5A1B"/>
    <w:rsid w:val="003F0B19"/>
    <w:rsid w:val="0040475B"/>
    <w:rsid w:val="00406A04"/>
    <w:rsid w:val="00406C9E"/>
    <w:rsid w:val="00411A42"/>
    <w:rsid w:val="00412147"/>
    <w:rsid w:val="0041277A"/>
    <w:rsid w:val="00424F63"/>
    <w:rsid w:val="00430061"/>
    <w:rsid w:val="004324B7"/>
    <w:rsid w:val="00443DC9"/>
    <w:rsid w:val="00452E3E"/>
    <w:rsid w:val="0046034A"/>
    <w:rsid w:val="00461234"/>
    <w:rsid w:val="00462D63"/>
    <w:rsid w:val="004712BE"/>
    <w:rsid w:val="004715F8"/>
    <w:rsid w:val="00472468"/>
    <w:rsid w:val="0047318D"/>
    <w:rsid w:val="00473B68"/>
    <w:rsid w:val="004828E3"/>
    <w:rsid w:val="0048567B"/>
    <w:rsid w:val="00496069"/>
    <w:rsid w:val="0049732A"/>
    <w:rsid w:val="004B14FE"/>
    <w:rsid w:val="004B5ADC"/>
    <w:rsid w:val="004C1F47"/>
    <w:rsid w:val="004C3EC9"/>
    <w:rsid w:val="004D1864"/>
    <w:rsid w:val="004E2B5B"/>
    <w:rsid w:val="004F160B"/>
    <w:rsid w:val="005148A6"/>
    <w:rsid w:val="005205CA"/>
    <w:rsid w:val="00522DF4"/>
    <w:rsid w:val="00522FDF"/>
    <w:rsid w:val="00534597"/>
    <w:rsid w:val="00536AE5"/>
    <w:rsid w:val="00537E48"/>
    <w:rsid w:val="0054724C"/>
    <w:rsid w:val="00551345"/>
    <w:rsid w:val="00560556"/>
    <w:rsid w:val="00560D1C"/>
    <w:rsid w:val="00563A65"/>
    <w:rsid w:val="00571162"/>
    <w:rsid w:val="00594224"/>
    <w:rsid w:val="00595565"/>
    <w:rsid w:val="005A1016"/>
    <w:rsid w:val="005A3B9F"/>
    <w:rsid w:val="005A5358"/>
    <w:rsid w:val="005B0EED"/>
    <w:rsid w:val="005B1E59"/>
    <w:rsid w:val="005B323D"/>
    <w:rsid w:val="005C397F"/>
    <w:rsid w:val="005C48C1"/>
    <w:rsid w:val="005C53E1"/>
    <w:rsid w:val="005D4704"/>
    <w:rsid w:val="005F222E"/>
    <w:rsid w:val="005F34DF"/>
    <w:rsid w:val="005F3C54"/>
    <w:rsid w:val="005F5077"/>
    <w:rsid w:val="005F6195"/>
    <w:rsid w:val="00601D06"/>
    <w:rsid w:val="00602F01"/>
    <w:rsid w:val="00603A16"/>
    <w:rsid w:val="00611587"/>
    <w:rsid w:val="006157CB"/>
    <w:rsid w:val="00617EC2"/>
    <w:rsid w:val="00620524"/>
    <w:rsid w:val="0062363B"/>
    <w:rsid w:val="00625245"/>
    <w:rsid w:val="00627D06"/>
    <w:rsid w:val="00630333"/>
    <w:rsid w:val="006347C0"/>
    <w:rsid w:val="00640665"/>
    <w:rsid w:val="00654C19"/>
    <w:rsid w:val="006558C0"/>
    <w:rsid w:val="00660C54"/>
    <w:rsid w:val="00660DE4"/>
    <w:rsid w:val="0067658C"/>
    <w:rsid w:val="00685E08"/>
    <w:rsid w:val="0068716A"/>
    <w:rsid w:val="006876B7"/>
    <w:rsid w:val="006A239E"/>
    <w:rsid w:val="006B6BFA"/>
    <w:rsid w:val="006B79FE"/>
    <w:rsid w:val="006C2B16"/>
    <w:rsid w:val="006D262D"/>
    <w:rsid w:val="006D5B7C"/>
    <w:rsid w:val="006E5DB0"/>
    <w:rsid w:val="006F2E7F"/>
    <w:rsid w:val="006F3857"/>
    <w:rsid w:val="006F3FD2"/>
    <w:rsid w:val="00713330"/>
    <w:rsid w:val="007228DB"/>
    <w:rsid w:val="00724ACA"/>
    <w:rsid w:val="00731F4A"/>
    <w:rsid w:val="00733B10"/>
    <w:rsid w:val="00735A05"/>
    <w:rsid w:val="007553CE"/>
    <w:rsid w:val="00760B04"/>
    <w:rsid w:val="007662DE"/>
    <w:rsid w:val="00766E15"/>
    <w:rsid w:val="00782616"/>
    <w:rsid w:val="00785AF3"/>
    <w:rsid w:val="007A5120"/>
    <w:rsid w:val="007A545A"/>
    <w:rsid w:val="007B39C5"/>
    <w:rsid w:val="007B6A20"/>
    <w:rsid w:val="007B6DBA"/>
    <w:rsid w:val="007B75BB"/>
    <w:rsid w:val="007C051B"/>
    <w:rsid w:val="007C572D"/>
    <w:rsid w:val="007D51A6"/>
    <w:rsid w:val="007D66B1"/>
    <w:rsid w:val="007E38DA"/>
    <w:rsid w:val="007E4B29"/>
    <w:rsid w:val="007E6E6E"/>
    <w:rsid w:val="007F067B"/>
    <w:rsid w:val="007F077B"/>
    <w:rsid w:val="007F266B"/>
    <w:rsid w:val="007F4150"/>
    <w:rsid w:val="007F5EBB"/>
    <w:rsid w:val="007F6783"/>
    <w:rsid w:val="00800EDB"/>
    <w:rsid w:val="0080216E"/>
    <w:rsid w:val="00802BA8"/>
    <w:rsid w:val="00805D48"/>
    <w:rsid w:val="00810A62"/>
    <w:rsid w:val="00812370"/>
    <w:rsid w:val="008158D1"/>
    <w:rsid w:val="008229E5"/>
    <w:rsid w:val="0083352B"/>
    <w:rsid w:val="00842EEC"/>
    <w:rsid w:val="0084319E"/>
    <w:rsid w:val="00845D30"/>
    <w:rsid w:val="00852D58"/>
    <w:rsid w:val="00853815"/>
    <w:rsid w:val="0085728B"/>
    <w:rsid w:val="00871777"/>
    <w:rsid w:val="008819F1"/>
    <w:rsid w:val="00884D8C"/>
    <w:rsid w:val="008868E6"/>
    <w:rsid w:val="00893635"/>
    <w:rsid w:val="008B037E"/>
    <w:rsid w:val="008B04D4"/>
    <w:rsid w:val="008B17C4"/>
    <w:rsid w:val="008B51DF"/>
    <w:rsid w:val="008C2D4D"/>
    <w:rsid w:val="008C6F0C"/>
    <w:rsid w:val="008D1D2D"/>
    <w:rsid w:val="008D77F6"/>
    <w:rsid w:val="008F0BAE"/>
    <w:rsid w:val="0090037A"/>
    <w:rsid w:val="00903327"/>
    <w:rsid w:val="00903346"/>
    <w:rsid w:val="009051BE"/>
    <w:rsid w:val="00906202"/>
    <w:rsid w:val="00910B2A"/>
    <w:rsid w:val="0091140A"/>
    <w:rsid w:val="009141A8"/>
    <w:rsid w:val="00921CC0"/>
    <w:rsid w:val="009258D8"/>
    <w:rsid w:val="009416A4"/>
    <w:rsid w:val="00942D43"/>
    <w:rsid w:val="00942FB2"/>
    <w:rsid w:val="009438EF"/>
    <w:rsid w:val="0095463F"/>
    <w:rsid w:val="00962C6B"/>
    <w:rsid w:val="00971B28"/>
    <w:rsid w:val="00976372"/>
    <w:rsid w:val="00976765"/>
    <w:rsid w:val="00976A18"/>
    <w:rsid w:val="00982659"/>
    <w:rsid w:val="009A4EA9"/>
    <w:rsid w:val="009B6F83"/>
    <w:rsid w:val="009C699C"/>
    <w:rsid w:val="009E521D"/>
    <w:rsid w:val="009E76A5"/>
    <w:rsid w:val="009F7D3E"/>
    <w:rsid w:val="00A00105"/>
    <w:rsid w:val="00A00816"/>
    <w:rsid w:val="00A0086C"/>
    <w:rsid w:val="00A0099C"/>
    <w:rsid w:val="00A017C4"/>
    <w:rsid w:val="00A02076"/>
    <w:rsid w:val="00A15EB2"/>
    <w:rsid w:val="00A205FD"/>
    <w:rsid w:val="00A21391"/>
    <w:rsid w:val="00A21392"/>
    <w:rsid w:val="00A3060C"/>
    <w:rsid w:val="00A336C4"/>
    <w:rsid w:val="00A3376F"/>
    <w:rsid w:val="00A348E6"/>
    <w:rsid w:val="00A41183"/>
    <w:rsid w:val="00A429BF"/>
    <w:rsid w:val="00A5092D"/>
    <w:rsid w:val="00A54FA0"/>
    <w:rsid w:val="00A618FB"/>
    <w:rsid w:val="00A61BE2"/>
    <w:rsid w:val="00A64DF7"/>
    <w:rsid w:val="00A703CF"/>
    <w:rsid w:val="00A82A24"/>
    <w:rsid w:val="00A83375"/>
    <w:rsid w:val="00A83E62"/>
    <w:rsid w:val="00A91494"/>
    <w:rsid w:val="00AA27F9"/>
    <w:rsid w:val="00AA3ACD"/>
    <w:rsid w:val="00AB71E0"/>
    <w:rsid w:val="00AC307B"/>
    <w:rsid w:val="00AC4B46"/>
    <w:rsid w:val="00AD7476"/>
    <w:rsid w:val="00AD7BD4"/>
    <w:rsid w:val="00AE2E02"/>
    <w:rsid w:val="00AE4DA5"/>
    <w:rsid w:val="00B043C9"/>
    <w:rsid w:val="00B06CB2"/>
    <w:rsid w:val="00B10384"/>
    <w:rsid w:val="00B1213D"/>
    <w:rsid w:val="00B12AA8"/>
    <w:rsid w:val="00B20727"/>
    <w:rsid w:val="00B33CE7"/>
    <w:rsid w:val="00B56210"/>
    <w:rsid w:val="00B626C5"/>
    <w:rsid w:val="00B65DC6"/>
    <w:rsid w:val="00B701D4"/>
    <w:rsid w:val="00B723C6"/>
    <w:rsid w:val="00B77849"/>
    <w:rsid w:val="00BA31D3"/>
    <w:rsid w:val="00BA5066"/>
    <w:rsid w:val="00BA61A3"/>
    <w:rsid w:val="00BB2CC6"/>
    <w:rsid w:val="00BC1FF1"/>
    <w:rsid w:val="00BC3B2C"/>
    <w:rsid w:val="00BC6DA6"/>
    <w:rsid w:val="00BD1E77"/>
    <w:rsid w:val="00BD4885"/>
    <w:rsid w:val="00BE2A06"/>
    <w:rsid w:val="00BE4009"/>
    <w:rsid w:val="00BE41C6"/>
    <w:rsid w:val="00BE4BEC"/>
    <w:rsid w:val="00BE70C8"/>
    <w:rsid w:val="00BE799D"/>
    <w:rsid w:val="00BF1C51"/>
    <w:rsid w:val="00BF1DA6"/>
    <w:rsid w:val="00BF2344"/>
    <w:rsid w:val="00BF4143"/>
    <w:rsid w:val="00C00851"/>
    <w:rsid w:val="00C027F1"/>
    <w:rsid w:val="00C03582"/>
    <w:rsid w:val="00C05BF8"/>
    <w:rsid w:val="00C06812"/>
    <w:rsid w:val="00C06F04"/>
    <w:rsid w:val="00C134F5"/>
    <w:rsid w:val="00C200C1"/>
    <w:rsid w:val="00C42078"/>
    <w:rsid w:val="00C429DC"/>
    <w:rsid w:val="00C52B1D"/>
    <w:rsid w:val="00C52F59"/>
    <w:rsid w:val="00C533D6"/>
    <w:rsid w:val="00C57B7A"/>
    <w:rsid w:val="00C60906"/>
    <w:rsid w:val="00C61F5A"/>
    <w:rsid w:val="00C678A7"/>
    <w:rsid w:val="00C707AB"/>
    <w:rsid w:val="00C72893"/>
    <w:rsid w:val="00C732C0"/>
    <w:rsid w:val="00C7522D"/>
    <w:rsid w:val="00C80865"/>
    <w:rsid w:val="00C83FA9"/>
    <w:rsid w:val="00C8740D"/>
    <w:rsid w:val="00C9209F"/>
    <w:rsid w:val="00C9429C"/>
    <w:rsid w:val="00C9523C"/>
    <w:rsid w:val="00CA54A0"/>
    <w:rsid w:val="00CA79CE"/>
    <w:rsid w:val="00CC389F"/>
    <w:rsid w:val="00CD140C"/>
    <w:rsid w:val="00CD1926"/>
    <w:rsid w:val="00CE0B62"/>
    <w:rsid w:val="00CE2FCA"/>
    <w:rsid w:val="00CE6310"/>
    <w:rsid w:val="00CE6404"/>
    <w:rsid w:val="00CE6D5C"/>
    <w:rsid w:val="00D00677"/>
    <w:rsid w:val="00D0072A"/>
    <w:rsid w:val="00D05490"/>
    <w:rsid w:val="00D13A58"/>
    <w:rsid w:val="00D23C97"/>
    <w:rsid w:val="00D3393F"/>
    <w:rsid w:val="00D3544C"/>
    <w:rsid w:val="00D36B2D"/>
    <w:rsid w:val="00D62BB9"/>
    <w:rsid w:val="00D64A70"/>
    <w:rsid w:val="00D66A3E"/>
    <w:rsid w:val="00D863B8"/>
    <w:rsid w:val="00D90D23"/>
    <w:rsid w:val="00D923A7"/>
    <w:rsid w:val="00D9430F"/>
    <w:rsid w:val="00D96C17"/>
    <w:rsid w:val="00DA6731"/>
    <w:rsid w:val="00DA6D51"/>
    <w:rsid w:val="00DB1B4A"/>
    <w:rsid w:val="00DC11A8"/>
    <w:rsid w:val="00DD18B8"/>
    <w:rsid w:val="00DD69D0"/>
    <w:rsid w:val="00DE46AB"/>
    <w:rsid w:val="00DE717F"/>
    <w:rsid w:val="00E0159E"/>
    <w:rsid w:val="00E02530"/>
    <w:rsid w:val="00E04C26"/>
    <w:rsid w:val="00E04E74"/>
    <w:rsid w:val="00E07AE4"/>
    <w:rsid w:val="00E1653B"/>
    <w:rsid w:val="00E201B3"/>
    <w:rsid w:val="00E23973"/>
    <w:rsid w:val="00E245F9"/>
    <w:rsid w:val="00E25799"/>
    <w:rsid w:val="00E27FFE"/>
    <w:rsid w:val="00E354C1"/>
    <w:rsid w:val="00E408CE"/>
    <w:rsid w:val="00E41E7D"/>
    <w:rsid w:val="00E42790"/>
    <w:rsid w:val="00E434A3"/>
    <w:rsid w:val="00E51D26"/>
    <w:rsid w:val="00E567B4"/>
    <w:rsid w:val="00E57E66"/>
    <w:rsid w:val="00E64F8D"/>
    <w:rsid w:val="00E651EC"/>
    <w:rsid w:val="00E65FA0"/>
    <w:rsid w:val="00E67E7D"/>
    <w:rsid w:val="00E72F05"/>
    <w:rsid w:val="00E75E55"/>
    <w:rsid w:val="00E83205"/>
    <w:rsid w:val="00E845A8"/>
    <w:rsid w:val="00E8535A"/>
    <w:rsid w:val="00E86A7F"/>
    <w:rsid w:val="00E90D13"/>
    <w:rsid w:val="00E936D0"/>
    <w:rsid w:val="00EA0F2B"/>
    <w:rsid w:val="00EA6937"/>
    <w:rsid w:val="00EB1120"/>
    <w:rsid w:val="00EB179D"/>
    <w:rsid w:val="00EC100E"/>
    <w:rsid w:val="00EC4B99"/>
    <w:rsid w:val="00EF2122"/>
    <w:rsid w:val="00F03E18"/>
    <w:rsid w:val="00F21EB8"/>
    <w:rsid w:val="00F228C9"/>
    <w:rsid w:val="00F31495"/>
    <w:rsid w:val="00F3493C"/>
    <w:rsid w:val="00F426F6"/>
    <w:rsid w:val="00F42DC5"/>
    <w:rsid w:val="00F57DCC"/>
    <w:rsid w:val="00F731B5"/>
    <w:rsid w:val="00F740E4"/>
    <w:rsid w:val="00F94A8F"/>
    <w:rsid w:val="00FA01AD"/>
    <w:rsid w:val="00FA1875"/>
    <w:rsid w:val="00FA2816"/>
    <w:rsid w:val="00FA31A7"/>
    <w:rsid w:val="00FA6341"/>
    <w:rsid w:val="00FB65B1"/>
    <w:rsid w:val="00FC4091"/>
    <w:rsid w:val="00FC4747"/>
    <w:rsid w:val="00FE7ED9"/>
    <w:rsid w:val="00FF2135"/>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9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8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28ED"/>
    <w:rPr>
      <w:rFonts w:cs="Times New Roman"/>
    </w:rPr>
  </w:style>
  <w:style w:type="paragraph" w:styleId="Footer">
    <w:name w:val="footer"/>
    <w:basedOn w:val="Normal"/>
    <w:link w:val="FooterChar"/>
    <w:uiPriority w:val="99"/>
    <w:rsid w:val="002528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28ED"/>
    <w:rPr>
      <w:rFonts w:cs="Times New Roman"/>
    </w:rPr>
  </w:style>
  <w:style w:type="paragraph" w:styleId="BalloonText">
    <w:name w:val="Balloon Text"/>
    <w:basedOn w:val="Normal"/>
    <w:link w:val="BalloonTextChar"/>
    <w:uiPriority w:val="99"/>
    <w:semiHidden/>
    <w:rsid w:val="0025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8ED"/>
    <w:rPr>
      <w:rFonts w:ascii="Tahoma" w:hAnsi="Tahoma" w:cs="Tahoma"/>
      <w:sz w:val="16"/>
      <w:szCs w:val="16"/>
    </w:rPr>
  </w:style>
  <w:style w:type="paragraph" w:styleId="ListParagraph">
    <w:name w:val="List Paragraph"/>
    <w:basedOn w:val="Normal"/>
    <w:uiPriority w:val="34"/>
    <w:qFormat/>
    <w:rsid w:val="00254F66"/>
    <w:pPr>
      <w:spacing w:after="160" w:line="259" w:lineRule="auto"/>
      <w:ind w:left="720"/>
      <w:contextualSpacing/>
    </w:pPr>
    <w:rPr>
      <w:lang w:val="en-CA"/>
    </w:rPr>
  </w:style>
  <w:style w:type="paragraph" w:styleId="NoSpacing">
    <w:name w:val="No Spacing"/>
    <w:uiPriority w:val="99"/>
    <w:qFormat/>
    <w:rsid w:val="00254F66"/>
    <w:rPr>
      <w:lang w:val="en-CA"/>
    </w:rPr>
  </w:style>
  <w:style w:type="character" w:styleId="Hyperlink">
    <w:name w:val="Hyperlink"/>
    <w:basedOn w:val="DefaultParagraphFont"/>
    <w:uiPriority w:val="99"/>
    <w:rsid w:val="005A3B9F"/>
    <w:rPr>
      <w:rFonts w:cs="Times New Roman"/>
      <w:color w:val="0000FF"/>
      <w:u w:val="single"/>
    </w:rPr>
  </w:style>
  <w:style w:type="paragraph" w:customStyle="1" w:styleId="DocsID">
    <w:name w:val="DocsID"/>
    <w:basedOn w:val="Normal"/>
    <w:rsid w:val="0012053A"/>
    <w:pPr>
      <w:spacing w:before="20" w:after="0" w:line="240" w:lineRule="auto"/>
    </w:pPr>
    <w:rPr>
      <w:rFonts w:ascii="Times New Roman" w:eastAsia="Times New Roman" w:hAnsi="Times New Roman"/>
      <w:color w:val="000080"/>
      <w:sz w:val="16"/>
      <w:szCs w:val="20"/>
      <w:lang w:val="en-CA"/>
    </w:rPr>
  </w:style>
  <w:style w:type="character" w:styleId="CommentReference">
    <w:name w:val="annotation reference"/>
    <w:basedOn w:val="DefaultParagraphFont"/>
    <w:uiPriority w:val="99"/>
    <w:semiHidden/>
    <w:unhideWhenUsed/>
    <w:rsid w:val="00BE4BEC"/>
    <w:rPr>
      <w:sz w:val="16"/>
      <w:szCs w:val="16"/>
    </w:rPr>
  </w:style>
  <w:style w:type="paragraph" w:styleId="CommentText">
    <w:name w:val="annotation text"/>
    <w:basedOn w:val="Normal"/>
    <w:link w:val="CommentTextChar"/>
    <w:uiPriority w:val="99"/>
    <w:semiHidden/>
    <w:unhideWhenUsed/>
    <w:rsid w:val="00BE4BEC"/>
    <w:pPr>
      <w:spacing w:line="240" w:lineRule="auto"/>
    </w:pPr>
    <w:rPr>
      <w:sz w:val="20"/>
      <w:szCs w:val="20"/>
    </w:rPr>
  </w:style>
  <w:style w:type="character" w:customStyle="1" w:styleId="CommentTextChar">
    <w:name w:val="Comment Text Char"/>
    <w:basedOn w:val="DefaultParagraphFont"/>
    <w:link w:val="CommentText"/>
    <w:uiPriority w:val="99"/>
    <w:semiHidden/>
    <w:rsid w:val="00BE4BEC"/>
    <w:rPr>
      <w:sz w:val="20"/>
      <w:szCs w:val="20"/>
    </w:rPr>
  </w:style>
  <w:style w:type="paragraph" w:styleId="CommentSubject">
    <w:name w:val="annotation subject"/>
    <w:basedOn w:val="CommentText"/>
    <w:next w:val="CommentText"/>
    <w:link w:val="CommentSubjectChar"/>
    <w:uiPriority w:val="99"/>
    <w:semiHidden/>
    <w:unhideWhenUsed/>
    <w:rsid w:val="00BE4BEC"/>
    <w:rPr>
      <w:b/>
      <w:bCs/>
    </w:rPr>
  </w:style>
  <w:style w:type="character" w:customStyle="1" w:styleId="CommentSubjectChar">
    <w:name w:val="Comment Subject Char"/>
    <w:basedOn w:val="CommentTextChar"/>
    <w:link w:val="CommentSubject"/>
    <w:uiPriority w:val="99"/>
    <w:semiHidden/>
    <w:rsid w:val="00BE4BEC"/>
    <w:rPr>
      <w:b/>
      <w:bCs/>
      <w:sz w:val="20"/>
      <w:szCs w:val="20"/>
    </w:rPr>
  </w:style>
  <w:style w:type="paragraph" w:styleId="Revision">
    <w:name w:val="Revision"/>
    <w:hidden/>
    <w:uiPriority w:val="99"/>
    <w:semiHidden/>
    <w:rsid w:val="00C200C1"/>
  </w:style>
  <w:style w:type="character" w:styleId="UnresolvedMention">
    <w:name w:val="Unresolved Mention"/>
    <w:basedOn w:val="DefaultParagraphFont"/>
    <w:uiPriority w:val="99"/>
    <w:semiHidden/>
    <w:unhideWhenUsed/>
    <w:rsid w:val="00A3376F"/>
    <w:rPr>
      <w:color w:val="605E5C"/>
      <w:shd w:val="clear" w:color="auto" w:fill="E1DFDD"/>
    </w:rPr>
  </w:style>
  <w:style w:type="character" w:styleId="Strong">
    <w:name w:val="Strong"/>
    <w:qFormat/>
    <w:locked/>
    <w:rsid w:val="00E354C1"/>
    <w:rPr>
      <w:rFonts w:cs="Calibri"/>
    </w:rPr>
  </w:style>
  <w:style w:type="paragraph" w:customStyle="1" w:styleId="Default">
    <w:name w:val="Default"/>
    <w:rsid w:val="00A61BE2"/>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7672">
      <w:bodyDiv w:val="1"/>
      <w:marLeft w:val="0"/>
      <w:marRight w:val="0"/>
      <w:marTop w:val="0"/>
      <w:marBottom w:val="0"/>
      <w:divBdr>
        <w:top w:val="none" w:sz="0" w:space="0" w:color="auto"/>
        <w:left w:val="none" w:sz="0" w:space="0" w:color="auto"/>
        <w:bottom w:val="none" w:sz="0" w:space="0" w:color="auto"/>
        <w:right w:val="none" w:sz="0" w:space="0" w:color="auto"/>
      </w:divBdr>
      <w:divsChild>
        <w:div w:id="867451216">
          <w:marLeft w:val="1166"/>
          <w:marRight w:val="0"/>
          <w:marTop w:val="0"/>
          <w:marBottom w:val="0"/>
          <w:divBdr>
            <w:top w:val="none" w:sz="0" w:space="0" w:color="auto"/>
            <w:left w:val="none" w:sz="0" w:space="0" w:color="auto"/>
            <w:bottom w:val="none" w:sz="0" w:space="0" w:color="auto"/>
            <w:right w:val="none" w:sz="0" w:space="0" w:color="auto"/>
          </w:divBdr>
        </w:div>
        <w:div w:id="169569921">
          <w:marLeft w:val="1166"/>
          <w:marRight w:val="0"/>
          <w:marTop w:val="0"/>
          <w:marBottom w:val="0"/>
          <w:divBdr>
            <w:top w:val="none" w:sz="0" w:space="0" w:color="auto"/>
            <w:left w:val="none" w:sz="0" w:space="0" w:color="auto"/>
            <w:bottom w:val="none" w:sz="0" w:space="0" w:color="auto"/>
            <w:right w:val="none" w:sz="0" w:space="0" w:color="auto"/>
          </w:divBdr>
        </w:div>
        <w:div w:id="696202925">
          <w:marLeft w:val="1166"/>
          <w:marRight w:val="0"/>
          <w:marTop w:val="0"/>
          <w:marBottom w:val="0"/>
          <w:divBdr>
            <w:top w:val="none" w:sz="0" w:space="0" w:color="auto"/>
            <w:left w:val="none" w:sz="0" w:space="0" w:color="auto"/>
            <w:bottom w:val="none" w:sz="0" w:space="0" w:color="auto"/>
            <w:right w:val="none" w:sz="0" w:space="0" w:color="auto"/>
          </w:divBdr>
        </w:div>
        <w:div w:id="847788603">
          <w:marLeft w:val="1166"/>
          <w:marRight w:val="0"/>
          <w:marTop w:val="0"/>
          <w:marBottom w:val="0"/>
          <w:divBdr>
            <w:top w:val="none" w:sz="0" w:space="0" w:color="auto"/>
            <w:left w:val="none" w:sz="0" w:space="0" w:color="auto"/>
            <w:bottom w:val="none" w:sz="0" w:space="0" w:color="auto"/>
            <w:right w:val="none" w:sz="0" w:space="0" w:color="auto"/>
          </w:divBdr>
        </w:div>
      </w:divsChild>
    </w:div>
    <w:div w:id="370879988">
      <w:marLeft w:val="0"/>
      <w:marRight w:val="0"/>
      <w:marTop w:val="0"/>
      <w:marBottom w:val="0"/>
      <w:divBdr>
        <w:top w:val="none" w:sz="0" w:space="0" w:color="auto"/>
        <w:left w:val="none" w:sz="0" w:space="0" w:color="auto"/>
        <w:bottom w:val="none" w:sz="0" w:space="0" w:color="auto"/>
        <w:right w:val="none" w:sz="0" w:space="0" w:color="auto"/>
      </w:divBdr>
    </w:div>
    <w:div w:id="370879989">
      <w:marLeft w:val="0"/>
      <w:marRight w:val="0"/>
      <w:marTop w:val="0"/>
      <w:marBottom w:val="0"/>
      <w:divBdr>
        <w:top w:val="none" w:sz="0" w:space="0" w:color="auto"/>
        <w:left w:val="none" w:sz="0" w:space="0" w:color="auto"/>
        <w:bottom w:val="none" w:sz="0" w:space="0" w:color="auto"/>
        <w:right w:val="none" w:sz="0" w:space="0" w:color="auto"/>
      </w:divBdr>
    </w:div>
    <w:div w:id="857157648">
      <w:bodyDiv w:val="1"/>
      <w:marLeft w:val="0"/>
      <w:marRight w:val="0"/>
      <w:marTop w:val="0"/>
      <w:marBottom w:val="0"/>
      <w:divBdr>
        <w:top w:val="none" w:sz="0" w:space="0" w:color="auto"/>
        <w:left w:val="none" w:sz="0" w:space="0" w:color="auto"/>
        <w:bottom w:val="none" w:sz="0" w:space="0" w:color="auto"/>
        <w:right w:val="none" w:sz="0" w:space="0" w:color="auto"/>
      </w:divBdr>
    </w:div>
    <w:div w:id="1202473875">
      <w:bodyDiv w:val="1"/>
      <w:marLeft w:val="0"/>
      <w:marRight w:val="0"/>
      <w:marTop w:val="0"/>
      <w:marBottom w:val="0"/>
      <w:divBdr>
        <w:top w:val="none" w:sz="0" w:space="0" w:color="auto"/>
        <w:left w:val="none" w:sz="0" w:space="0" w:color="auto"/>
        <w:bottom w:val="none" w:sz="0" w:space="0" w:color="auto"/>
        <w:right w:val="none" w:sz="0" w:space="0" w:color="auto"/>
      </w:divBdr>
    </w:div>
    <w:div w:id="1329748363">
      <w:bodyDiv w:val="1"/>
      <w:marLeft w:val="0"/>
      <w:marRight w:val="0"/>
      <w:marTop w:val="0"/>
      <w:marBottom w:val="0"/>
      <w:divBdr>
        <w:top w:val="none" w:sz="0" w:space="0" w:color="auto"/>
        <w:left w:val="none" w:sz="0" w:space="0" w:color="auto"/>
        <w:bottom w:val="none" w:sz="0" w:space="0" w:color="auto"/>
        <w:right w:val="none" w:sz="0" w:space="0" w:color="auto"/>
      </w:divBdr>
    </w:div>
    <w:div w:id="20780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oebuck@hightideresour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B12A-EDDD-410E-ADF3-04B889DE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2022-11-17T15:46:00Z</dcterms:created>
  <dcterms:modified xsi:type="dcterms:W3CDTF">2022-11-17T15:46:00Z</dcterms:modified>
</cp:coreProperties>
</file>